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9133_defa14a.htm"/>
      <w:bookmarkStart w:id="1" w:name="ksef20079133_defa14a"/>
      <w:bookmarkStart w:id="2" w:name="ef20079133_defa14a.htm"/>
      <w:bookmarkStart w:id="3" w:name="ksef20079133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 14a-101)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Proxy Statement Pursuant to Section 14(a) 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79df4cfe937c4d58914edcd7fc07cceb"/>
      <w:bookmarkStart w:id="5" w:name="z79df4cfe937c4d58914edcd7fc07cceb"/>
      <w:bookmarkEnd w:id="5"/>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0"/>
              <w:jc w:val="both"/>
              <w:rPr/>
            </w:pPr>
            <w:r>
              <w:rPr/>
              <w:t>Preliminary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ceaf4b6d3e884ed2a3f954eb3372f9a6"/>
      <w:bookmarkStart w:id="7" w:name="zceaf4b6d3e884ed2a3f954eb3372f9a6"/>
      <w:bookmarkEnd w:id="7"/>
    </w:p>
    <w:tbl>
      <w:tblPr>
        <w:tblW w:w="8350" w:type="dxa"/>
        <w:jc w:val="left"/>
        <w:tblInd w:w="0" w:type="dxa"/>
        <w:tblLayout w:type="fixed"/>
        <w:tblCellMar>
          <w:top w:w="0" w:type="dxa"/>
          <w:left w:w="0" w:type="dxa"/>
          <w:bottom w:w="0" w:type="dxa"/>
          <w:right w:w="0" w:type="dxa"/>
        </w:tblCellMar>
      </w:tblPr>
      <w:tblGrid>
        <w:gridCol w:w="245"/>
        <w:gridCol w:w="8105"/>
      </w:tblGrid>
      <w:tr>
        <w:trPr/>
        <w:tc>
          <w:tcPr>
            <w:tcW w:w="245"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0"/>
              <w:jc w:val="both"/>
              <w:rPr>
                <w:b/>
              </w:rPr>
            </w:pPr>
            <w:r>
              <w:rPr>
                <w:b/>
              </w:rPr>
              <w:t>Confidential, for Use of the Commission Only (as permitted by Rule 14a-6(e)(2))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cf4bcfd74d654108bc9d0ccc588f4fe7"/>
      <w:bookmarkStart w:id="9" w:name="zcf4bcfd74d654108bc9d0ccc588f4fe7"/>
      <w:bookmarkEnd w:id="9"/>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both"/>
              <w:rPr/>
            </w:pPr>
            <w:r>
              <w:rPr/>
              <w:t>Definitive Proxy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77ec2d1a73c34ffd848b82198108c37f"/>
      <w:bookmarkStart w:id="11" w:name="z77ec2d1a73c34ffd848b82198108c37f"/>
      <w:bookmarkEnd w:id="11"/>
    </w:p>
    <w:tbl>
      <w:tblPr>
        <w:tblW w:w="3220" w:type="dxa"/>
        <w:jc w:val="left"/>
        <w:tblInd w:w="0" w:type="dxa"/>
        <w:tblLayout w:type="fixed"/>
        <w:tblCellMar>
          <w:top w:w="0" w:type="dxa"/>
          <w:left w:w="0" w:type="dxa"/>
          <w:bottom w:w="0" w:type="dxa"/>
          <w:right w:w="0" w:type="dxa"/>
        </w:tblCellMar>
      </w:tblPr>
      <w:tblGrid>
        <w:gridCol w:w="245"/>
        <w:gridCol w:w="2975"/>
      </w:tblGrid>
      <w:tr>
        <w:trPr/>
        <w:tc>
          <w:tcPr>
            <w:tcW w:w="245"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0"/>
              <w:jc w:val="both"/>
              <w:rPr/>
            </w:pPr>
            <w:r>
              <w:rPr/>
              <w:t>Definitive Additional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daaa78aeb30a45e398e6e6949662f12c"/>
      <w:bookmarkStart w:id="13" w:name="zdaaa78aeb30a45e398e6e6949662f12c"/>
      <w:bookmarkEnd w:id="13"/>
    </w:p>
    <w:tbl>
      <w:tblPr>
        <w:tblW w:w="5050" w:type="dxa"/>
        <w:jc w:val="left"/>
        <w:tblInd w:w="0" w:type="dxa"/>
        <w:tblLayout w:type="fixed"/>
        <w:tblCellMar>
          <w:top w:w="0" w:type="dxa"/>
          <w:left w:w="0" w:type="dxa"/>
          <w:bottom w:w="0" w:type="dxa"/>
          <w:right w:w="0" w:type="dxa"/>
        </w:tblCellMar>
      </w:tblPr>
      <w:tblGrid>
        <w:gridCol w:w="245"/>
        <w:gridCol w:w="4805"/>
      </w:tblGrid>
      <w:tr>
        <w:trPr/>
        <w:tc>
          <w:tcPr>
            <w:tcW w:w="245"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0"/>
              <w:jc w:val="both"/>
              <w:rPr/>
            </w:pPr>
            <w:r>
              <w:rPr/>
              <w:t>Soliciting Material Pursuant to Section 240.14a-12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e5b9d205f3804277ab09f5a694ec4bee"/>
      <w:bookmarkStart w:id="15" w:name="ze5b9d205f3804277ab09f5a694ec4bee"/>
      <w:bookmarkEnd w:id="15"/>
    </w:p>
    <w:tbl>
      <w:tblPr>
        <w:tblW w:w="5360" w:type="dxa"/>
        <w:jc w:val="left"/>
        <w:tblInd w:w="0" w:type="dxa"/>
        <w:tblLayout w:type="fixed"/>
        <w:tblCellMar>
          <w:top w:w="0" w:type="dxa"/>
          <w:left w:w="0" w:type="dxa"/>
          <w:bottom w:w="28" w:type="dxa"/>
          <w:right w:w="0" w:type="dxa"/>
        </w:tblCellMar>
      </w:tblPr>
      <w:tblGrid>
        <w:gridCol w:w="5360"/>
      </w:tblGrid>
      <w:tr>
        <w:trPr/>
        <w:tc>
          <w:tcPr>
            <w:tcW w:w="5360" w:type="dxa"/>
            <w:tcBorders>
              <w:bottom w:val="single" w:sz="12" w:space="0" w:color="000000"/>
            </w:tcBorders>
            <w:vAlign w:val="center"/>
          </w:tcPr>
          <w:p>
            <w:pPr>
              <w:pStyle w:val="TableContents"/>
              <w:bidi w:val="0"/>
              <w:spacing w:before="0" w:after="0"/>
              <w:jc w:val="center"/>
              <w:rPr>
                <w:b/>
                <w:sz w:val="48"/>
              </w:rPr>
            </w:pPr>
            <w:r>
              <w:rPr>
                <w:b/>
                <w:sz w:val="48"/>
              </w:rPr>
              <w:t>Apogee Therapeutics, Inc.</w:t>
            </w:r>
          </w:p>
        </w:tc>
      </w:tr>
      <w:tr>
        <w:trPr/>
        <w:tc>
          <w:tcPr>
            <w:tcW w:w="5360" w:type="dxa"/>
            <w:tcBorders/>
            <w:tcMar>
              <w:bottom w:w="0" w:type="dxa"/>
            </w:tcMar>
            <w:vAlign w:val="center"/>
          </w:tcPr>
          <w:p>
            <w:pPr>
              <w:pStyle w:val="TableContents"/>
              <w:bidi w:val="0"/>
              <w:spacing w:before="0" w:after="0"/>
              <w:jc w:val="center"/>
              <w:rPr/>
            </w:pPr>
            <w:r>
              <w:rPr/>
              <w:t>(Name of Registrant as Specified In Its Charter)</w:t>
            </w:r>
          </w:p>
        </w:tc>
      </w:tr>
    </w:tbl>
    <w:p>
      <w:pPr>
        <w:pStyle w:val="TextBody"/>
        <w:bidi w:val="0"/>
        <w:spacing w:before="0" w:after="0"/>
        <w:jc w:val="left"/>
        <w:rPr/>
      </w:pPr>
      <w:r>
        <w:rPr/>
      </w:r>
    </w:p>
    <w:tbl>
      <w:tblPr>
        <w:tblW w:w="6800" w:type="dxa"/>
        <w:jc w:val="left"/>
        <w:tblInd w:w="0" w:type="dxa"/>
        <w:tblLayout w:type="fixed"/>
        <w:tblCellMar>
          <w:top w:w="0" w:type="dxa"/>
          <w:left w:w="0" w:type="dxa"/>
          <w:bottom w:w="28" w:type="dxa"/>
          <w:right w:w="0" w:type="dxa"/>
        </w:tblCellMar>
      </w:tblPr>
      <w:tblGrid>
        <w:gridCol w:w="6800"/>
      </w:tblGrid>
      <w:tr>
        <w:trPr/>
        <w:tc>
          <w:tcPr>
            <w:tcW w:w="6800" w:type="dxa"/>
            <w:tcBorders>
              <w:bottom w:val="single" w:sz="12" w:space="0" w:color="000000"/>
            </w:tcBorders>
            <w:vAlign w:val="center"/>
          </w:tcPr>
          <w:p>
            <w:pPr>
              <w:pStyle w:val="TableContents"/>
              <w:bidi w:val="0"/>
              <w:spacing w:before="0" w:after="0"/>
              <w:jc w:val="center"/>
              <w:rPr>
                <w:b/>
              </w:rPr>
            </w:pPr>
            <w:r>
              <w:rPr>
                <w:b/>
              </w:rPr>
              <w:t>Not applicable</w:t>
            </w:r>
          </w:p>
        </w:tc>
      </w:tr>
      <w:tr>
        <w:trPr/>
        <w:tc>
          <w:tcPr>
            <w:tcW w:w="6800" w:type="dxa"/>
            <w:tcBorders/>
            <w:tcMar>
              <w:bottom w:w="0" w:type="dxa"/>
            </w:tcMar>
            <w:vAlign w:val="center"/>
          </w:tcPr>
          <w:p>
            <w:pPr>
              <w:pStyle w:val="TableContents"/>
              <w:bidi w:val="0"/>
              <w:spacing w:before="0" w:after="0"/>
              <w:jc w:val="center"/>
              <w:rPr/>
            </w:pPr>
            <w:r>
              <w:rPr/>
              <w:t>(Name of Person(s) Filing Proxy Statement, if other than the Registrant)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d179a188aad64cc4964ab0d934f3a169"/>
      <w:bookmarkStart w:id="17" w:name="zd179a188aad64cc4964ab0d934f3a169"/>
      <w:bookmarkEnd w:id="17"/>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0"/>
              <w:jc w:val="both"/>
              <w:rPr/>
            </w:pPr>
            <w:r>
              <w:rPr/>
              <w:t>No fee required.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ea2c369e5a554ad9a47303222c49e53d"/>
      <w:bookmarkStart w:id="19" w:name="zea2c369e5a554ad9a47303222c49e53d"/>
      <w:bookmarkEnd w:id="19"/>
    </w:p>
    <w:tbl>
      <w:tblPr>
        <w:tblW w:w="4720" w:type="dxa"/>
        <w:jc w:val="left"/>
        <w:tblInd w:w="0" w:type="dxa"/>
        <w:tblLayout w:type="fixed"/>
        <w:tblCellMar>
          <w:top w:w="0" w:type="dxa"/>
          <w:left w:w="0" w:type="dxa"/>
          <w:bottom w:w="0" w:type="dxa"/>
          <w:right w:w="0" w:type="dxa"/>
        </w:tblCellMar>
      </w:tblPr>
      <w:tblGrid>
        <w:gridCol w:w="245"/>
        <w:gridCol w:w="4475"/>
      </w:tblGrid>
      <w:tr>
        <w:trPr/>
        <w:tc>
          <w:tcPr>
            <w:tcW w:w="245"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0"/>
              <w:jc w:val="both"/>
              <w:rPr/>
            </w:pPr>
            <w:r>
              <w:rPr/>
              <w:t>Fee paid previously with preliminary materials.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3629ccf638e541719d572e5f4aa60d71"/>
      <w:bookmarkStart w:id="21" w:name="z3629ccf638e541719d572e5f4aa60d71"/>
      <w:bookmarkEnd w:id="21"/>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0"/>
              <w:jc w:val="both"/>
              <w:rPr/>
            </w:pPr>
            <w:r>
              <w:rPr/>
              <w:t>Fee computed on table in exhibit required by Item 25(b) per Exchange Act Rules 14a-6(i)(1) and 0-11.</w:t>
            </w:r>
          </w:p>
        </w:tc>
      </w:tr>
    </w:tbl>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2114550"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6477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Apogee Therapeutics, Inc.</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One Letterman Drive, Building B, Suites B6-850 and B6-800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Presidio of San Francisco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San Francisco, California 94129-1492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(650) 394-5230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SUPPLEMENT TO THE PROXY STATEMENT FOR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THE SPECIAL MEETING OF STOCKHOLDERS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 BE HELD AUGUST 11, 2026</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August 3,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definitive additional materials (these “Definitive Additional Materials”) amend and supplement the definitive proxy statement, dated July 13, 2026 (the “Definitive Proxy Statement”), initially mailed to stockholders on or about July 14, 2026, by Apogee Therapeutics, Inc., a Delaware corporation (“Apogee,” the “Company,” “we,” “us” or “our”), for a special meeting of our stockholders (the “Special Meeting”) to be held virtually on August 11, 2026, at 9:00 a.m., Eastern time. The purpose of the Special Meeting is to consider and vote upon, among other things, the proposal to adopt the Agreement and Plan of Merger (the “Merger Agreement”), dated June 18, 2026, among Apogee, Andor LLC (“Parent”), a Delaware limited liability company and a wholly owned subsidiary of AbbVie Inc. (“AbbVie”), Andor Merger Co. (“Merger Sub”), a Delaware corporation and wholly owned subsidiary of Parent and, solely for the limited purposes set forth in the Merger Agreement, AbbVie, a Delaware corporation. Pursuant to the terms and subject to the conditions of the Merger Agreement, Merger Sub will merge with and into Apogee (the “Merger”), with Apogee surviving the Merger as an indirect wholly owned subsidiary of AbbVie.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Definitive Additional Materials have been filed by Apogee with the United States Securities and Exchange Commission (the “SEC”) on August 3,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If any stockholders have not already submitted a proxy for use at the Special Meeting, they are urged to do so promptly. No action in connection with this supplement is required by any stockholder who has previously delivered a proxy and who does not wish to revoke or change that proxy.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any stockholders have more questions about the Merger or how to submit their proxies or if any stockholders need additional copies of the proxy statement, this supplement, the proxy card or voting instructions, please contact our Proxy Solicitor:</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INNISFREE M&amp;A INCORPORATED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500 Fifth Avenue, 21st Floor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New York, NY 10110</w:t>
      </w:r>
    </w:p>
    <w:p>
      <w:pPr>
        <w:pStyle w:val="Normal"/>
        <w:bidi w:val="0"/>
        <w:spacing w:before="0" w:after="0"/>
        <w:jc w:val="left"/>
        <w:rPr>
          <w:sz w:val="4"/>
          <w:szCs w:val="4"/>
        </w:rPr>
      </w:pPr>
      <w:r>
        <w:rPr>
          <w:sz w:val="4"/>
          <w:szCs w:val="4"/>
        </w:rPr>
      </w:r>
      <w:bookmarkStart w:id="22" w:name="z270be82b5f1b47d89a5e2666c69d1426"/>
      <w:bookmarkStart w:id="23" w:name="z270be82b5f1b47d89a5e2666c69d1426"/>
      <w:bookmarkEnd w:id="23"/>
    </w:p>
    <w:tbl>
      <w:tblPr>
        <w:tblW w:w="7335" w:type="dxa"/>
        <w:jc w:val="left"/>
        <w:tblInd w:w="0" w:type="dxa"/>
        <w:tblLayout w:type="fixed"/>
        <w:tblCellMar>
          <w:top w:w="0" w:type="dxa"/>
          <w:left w:w="0" w:type="dxa"/>
          <w:bottom w:w="0" w:type="dxa"/>
          <w:right w:w="0" w:type="dxa"/>
        </w:tblCellMar>
      </w:tblPr>
      <w:tblGrid>
        <w:gridCol w:w="3485"/>
        <w:gridCol w:w="140"/>
        <w:gridCol w:w="3710"/>
      </w:tblGrid>
      <w:tr>
        <w:trPr/>
        <w:tc>
          <w:tcPr>
            <w:tcW w:w="3485" w:type="dxa"/>
            <w:tcBorders/>
            <w:vAlign w:val="center"/>
          </w:tcPr>
          <w:p>
            <w:pPr>
              <w:pStyle w:val="TableContents"/>
              <w:bidi w:val="0"/>
              <w:spacing w:before="0" w:after="0"/>
              <w:jc w:val="right"/>
              <w:rPr>
                <w:color w:val="000000"/>
              </w:rPr>
            </w:pPr>
            <w:r>
              <w:rPr>
                <w:color w:val="000000"/>
              </w:rPr>
              <w:t>Stockholders, please call toll-free:</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+1 (877) 750-8334 (U.S. and Canada)</w:t>
            </w:r>
          </w:p>
        </w:tc>
      </w:tr>
      <w:tr>
        <w:trPr/>
        <w:tc>
          <w:tcPr>
            <w:tcW w:w="348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+1 (412) 232-3651 (all other countries)</w:t>
            </w:r>
          </w:p>
        </w:tc>
      </w:tr>
      <w:tr>
        <w:trPr/>
        <w:tc>
          <w:tcPr>
            <w:tcW w:w="3485" w:type="dxa"/>
            <w:tcBorders/>
            <w:vAlign w:val="center"/>
          </w:tcPr>
          <w:p>
            <w:pPr>
              <w:pStyle w:val="TableContents"/>
              <w:bidi w:val="0"/>
              <w:spacing w:before="0" w:after="0"/>
              <w:jc w:val="right"/>
              <w:rPr>
                <w:color w:val="000000"/>
              </w:rPr>
            </w:pPr>
            <w:r>
              <w:rPr>
                <w:color w:val="000000"/>
              </w:rPr>
              <w:t>Banks and brokerage firms may call:</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+1 (212) 750-5833 (collect)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information contained herein speaks only as of August 3, 2026, unless the information specifically indicates that another date applies.</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SUPPLEMENTAL DISCLOSURES TO DEFINITIVE PROXY STATEMENT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These Definitive Additional Materials should be read in conjunction with the Definitive Proxy Statement, which should be read in its entirety. To the extent that information in these Definitive Additional Materials differs from or conflicts with information contained in the Definitive Proxy Statement, the information in these Definitive Additional Materials shall supersede or supplement the information in the Definitive Proxy Statement, as applicable. Defined terms used but not defined herein have the meanings set forth in the Definitive Proxy Statement.</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Summary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Litigation Related to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Summary—Litigation Related to the Merger” </w:t>
      </w:r>
      <w:r>
        <w:rPr>
          <w:rFonts w:ascii="Times New Roman" w:hAnsi="Times New Roman"/>
          <w:i/>
          <w:color w:val="000000"/>
          <w:sz w:val="20"/>
        </w:rPr>
        <w:t>is hereby amended by deleting the following strikethrough language from and adding the following bolded and double underlined language to the last paragraph on page 7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Securities class action lawsuits and derivative lawsuits are often brought against public companies that have entered into acquisition, merger or other business combination agreements like the Merger Agreement. </w:t>
      </w:r>
      <w:r>
        <w:rPr>
          <w:rFonts w:ascii="Times New Roman" w:hAnsi="Times New Roman"/>
          <w:strike/>
          <w:color w:val="000000"/>
          <w:sz w:val="20"/>
        </w:rPr>
        <w:t>Although Apogee is not aware of any pending lawsuits relating to the Merger as of the date of this proxy statement, potential plaintiffs may file lawsuits or send demand letters in connection with the Merger.</w:t>
      </w:r>
      <w:r>
        <w:rPr>
          <w:rFonts w:ascii="Times New Roman" w:hAnsi="Times New Roman"/>
          <w:color w:val="000000"/>
          <w:sz w:val="20"/>
        </w:rPr>
        <w:t> </w:t>
      </w:r>
      <w:r>
        <w:rPr>
          <w:rFonts w:ascii="Times New Roman" w:hAnsi="Times New Roman"/>
          <w:b/>
          <w:color w:val="000000"/>
          <w:sz w:val="20"/>
          <w:u w:val="single"/>
          <w:bdr w:val="single" w:sz="2" w:space="1" w:color="000000"/>
        </w:rPr>
        <w:t>A summary of the litigation matters relating to the Merger as of August 3, 2026, is included in the section of this proxy statement captioned “</w:t>
      </w:r>
      <w:r>
        <w:rPr>
          <w:rFonts w:ascii="Times New Roman" w:hAnsi="Times New Roman"/>
          <w:b/>
          <w:i/>
          <w:color w:val="000000"/>
          <w:sz w:val="20"/>
          <w:u w:val="single"/>
          <w:bdr w:val="single" w:sz="2" w:space="1" w:color="000000"/>
        </w:rPr>
        <w:t>The Merger—Litigation Related to the Merger.</w:t>
      </w:r>
      <w:r>
        <w:rPr>
          <w:rFonts w:ascii="Times New Roman" w:hAnsi="Times New Roman"/>
          <w:color w:val="000000"/>
          <w:sz w:val="20"/>
          <w:u w:val="single"/>
          <w:bdr w:val="single" w:sz="2" w:space="1" w:color="000000"/>
        </w:rPr>
        <w:t>”</w:t>
      </w:r>
      <w:r>
        <w:rPr>
          <w:rFonts w:ascii="Times New Roman" w:hAnsi="Times New Roman"/>
          <w:color w:val="000000"/>
          <w:sz w:val="20"/>
        </w:rPr>
        <w:t xml:space="preserve"> The outcome of any future litigation is uncertain. Such litigation, if not resolved, could prevent or delay consummation of the Merger and result in substantial costs to Apogee including any costs associated with the indemnification of directors and officers. One of the conditions to the consummation of the Merger is that no legal restraints preventing or prohibiting the consummation of the Merger will be in effect at the time of Closing. Therefore, if a plaintiff were successful in obtaining an injunction prohibiting the consummation of the Merger on the agreed-upon terms, then such injunction may prevent the Merger from being consummated, or from being consummated within the expected time frame.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The Special Meeting</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Quorum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Summary—The Special Meeting—Quorum” </w:t>
      </w:r>
      <w:r>
        <w:rPr>
          <w:rFonts w:ascii="Times New Roman" w:hAnsi="Times New Roman"/>
          <w:i/>
          <w:color w:val="000000"/>
          <w:sz w:val="20"/>
        </w:rPr>
        <w:t>is hereby amended by deleting the following strikethrough language from and adding the following bolded and double underlined language to the last full paragraph on page 12 of the Definitive Proxy Statement: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8477f007efe548c4972bd1d9b7eb6db0"/>
      <w:bookmarkStart w:id="25" w:name="z8477f007efe548c4972bd1d9b7eb6db0"/>
      <w:bookmarkEnd w:id="2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 xml:space="preserve">As of the Record Date, there were </w:t>
            </w:r>
            <w:r>
              <w:rPr>
                <w:strike/>
              </w:rPr>
              <w:t>61,877,575</w:t>
            </w:r>
            <w:r>
              <w:rPr/>
              <w:t> </w:t>
            </w:r>
            <w:r>
              <w:rPr>
                <w:b/>
                <w:u w:val="single"/>
                <w:bdr w:val="single" w:sz="2" w:space="1" w:color="000000"/>
              </w:rPr>
              <w:t>62,140,183</w:t>
            </w:r>
            <w:r>
              <w:rPr/>
              <w:t xml:space="preserve"> shares of our voting common stock issued and outstanding and entitled to vote at the Special Meeting. A majority of the issued and outstanding shares of our voting common stock, present at the Special Meeting or represented by proxy, will constitute a quorum at the Special Meeting.</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Required Vote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Summary—The Special Meeting—Required Vote” </w:t>
      </w:r>
      <w:r>
        <w:rPr>
          <w:rFonts w:ascii="Times New Roman" w:hAnsi="Times New Roman"/>
          <w:i/>
          <w:color w:val="000000"/>
          <w:sz w:val="20"/>
        </w:rPr>
        <w:t>is hereby amended by deleting the following strikethrough language from and adding the following bolded and double underlined language to the last paragraph beginning on page 12 of the Definitive Proxy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8125b24653844b32919e5bf9e1978c60"/>
      <w:bookmarkStart w:id="27" w:name="z8125b24653844b32919e5bf9e1978c60"/>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 xml:space="preserve">The approval of the Merger Proposal requires the affirmative vote of the holders of a majority of shares of our voting common stock as of the close of business on the Record Date. Immediately prior to the execution of the Merger Agreement, holders of all outstanding shares of our non-voting common stock as of such date executed and delivered to Apogee a written consent approving Apogee’s entry into the Merger Agreement and consummation of the Merger. The consummation of the Merger remains subject to the affirmative vote of a majority of the shares of our voting common stock. As of the Record Date, </w:t>
            </w:r>
            <w:r>
              <w:rPr>
                <w:strike/>
              </w:rPr>
              <w:t>30,938,788</w:t>
            </w:r>
            <w:r>
              <w:rPr/>
              <w:t> </w:t>
            </w:r>
            <w:r>
              <w:rPr>
                <w:b/>
                <w:u w:val="single"/>
                <w:bdr w:val="single" w:sz="2" w:space="1" w:color="000000"/>
              </w:rPr>
              <w:t>31,070,092</w:t>
            </w:r>
            <w:r>
              <w:rPr/>
              <w:t xml:space="preserve"> votes constitute a majority of the shares of our voting common stock.</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Share Ownership of Our Directors and Executive Officers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Summary—The Special Meeting—Share Ownership of Our Directors and Executive Officers” </w:t>
      </w:r>
      <w:r>
        <w:rPr>
          <w:rFonts w:ascii="Times New Roman" w:hAnsi="Times New Roman"/>
          <w:i/>
          <w:color w:val="000000"/>
          <w:sz w:val="20"/>
        </w:rPr>
        <w:t>is hereby amended by deleting the following strikethrough language from and adding the following bolded and double underlined language to the third full paragraph on page 13 of the Definitive Proxy Statement: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0a8ab7a4bab74f36b509ceff6e015d99"/>
      <w:bookmarkStart w:id="29" w:name="z0a8ab7a4bab74f36b509ceff6e015d99"/>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 xml:space="preserve">As of the Record Date, our directors and executive officers beneficially owned and were entitled to vote, in the aggregate, </w:t>
            </w:r>
            <w:r>
              <w:rPr>
                <w:strike/>
              </w:rPr>
              <w:t>1,301,595</w:t>
            </w:r>
            <w:r>
              <w:rPr/>
              <w:t> </w:t>
            </w:r>
            <w:r>
              <w:rPr>
                <w:b/>
                <w:u w:val="single"/>
                <w:bdr w:val="single" w:sz="2" w:space="1" w:color="000000"/>
              </w:rPr>
              <w:t>1,412,999</w:t>
            </w:r>
            <w:r>
              <w:rPr/>
              <w:t xml:space="preserve"> shares of our voting common stock, representing </w:t>
            </w:r>
            <w:r>
              <w:rPr>
                <w:strike/>
              </w:rPr>
              <w:t>2.10%</w:t>
            </w:r>
            <w:r>
              <w:rPr/>
              <w:t> </w:t>
            </w:r>
            <w:r>
              <w:rPr>
                <w:b/>
                <w:u w:val="single"/>
                <w:bdr w:val="single" w:sz="2" w:space="1" w:color="000000"/>
              </w:rPr>
              <w:t>2.27%</w:t>
            </w:r>
            <w:r>
              <w:rPr/>
              <w:t xml:space="preserve"> of the shares of our voting common stock outstanding on the Record Date.</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General Information About the Special Meeting and Voting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General Information About the Special Meeting and Voting” </w:t>
      </w:r>
      <w:r>
        <w:rPr>
          <w:rFonts w:ascii="Times New Roman" w:hAnsi="Times New Roman"/>
          <w:i/>
          <w:color w:val="000000"/>
          <w:sz w:val="20"/>
        </w:rPr>
        <w:t>is hereby amended by deleting the following strikethrough language from and adding the following bolded and double underlined language to the fourth paragraph on page 15 of the Definitive Proxy Statement: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b/>
          <w:color w:val="000000"/>
          <w:sz w:val="20"/>
        </w:rPr>
      </w:pPr>
      <w:r>
        <w:rPr>
          <w:rFonts w:ascii="Times New Roman" w:hAnsi="Times New Roman"/>
          <w:b/>
          <w:color w:val="000000"/>
          <w:sz w:val="20"/>
        </w:rPr>
        <w:t>Who is entitled to vote on matters presented at the Special Meeting?</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The Record Date for the Special Meeting is the close of business on July 10, 2026. You are entitled to vote on the matters presented at the Special Meeting if you owned shares of our voting common stock at the close of business on the Record Date. Each outstanding share of our voting common stock is entitled to one vote for all matters before the Special Meeting. At the close of business on the Record Date, there were </w:t>
      </w:r>
      <w:r>
        <w:rPr>
          <w:rFonts w:ascii="Times New Roman" w:hAnsi="Times New Roman"/>
          <w:strike/>
          <w:color w:val="000000"/>
          <w:sz w:val="20"/>
        </w:rPr>
        <w:t>61,877,575</w:t>
      </w:r>
      <w:r>
        <w:rPr>
          <w:rFonts w:ascii="Times New Roman" w:hAnsi="Times New Roman"/>
          <w:color w:val="000000"/>
          <w:sz w:val="20"/>
        </w:rPr>
        <w:t> </w:t>
      </w:r>
      <w:r>
        <w:rPr>
          <w:rFonts w:ascii="Times New Roman" w:hAnsi="Times New Roman"/>
          <w:b/>
          <w:color w:val="000000"/>
          <w:sz w:val="20"/>
          <w:u w:val="single"/>
          <w:bdr w:val="single" w:sz="2" w:space="1" w:color="000000"/>
        </w:rPr>
        <w:t>62,140,183</w:t>
      </w:r>
      <w:r>
        <w:rPr>
          <w:rFonts w:ascii="Times New Roman" w:hAnsi="Times New Roman"/>
          <w:color w:val="000000"/>
          <w:sz w:val="20"/>
        </w:rPr>
        <w:t xml:space="preserve"> shares of our voting common stock outstanding and entitled to vote at the Special Meeting.</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The Special Meeting</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Record Date; Shares Entitled to Vote; Quorum</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Special Meeting—Record Date; Shares Entitled to Vote; Quorum” </w:t>
      </w:r>
      <w:r>
        <w:rPr>
          <w:rFonts w:ascii="Times New Roman" w:hAnsi="Times New Roman"/>
          <w:i/>
          <w:color w:val="000000"/>
          <w:sz w:val="20"/>
        </w:rPr>
        <w:t>is hereby amended by deleting the following strikethrough language from and adding the following bolded and double underlined language to the third paragraph on page 22 of the Definitive Proxy Statement: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Only stockholders of record as of the Record Date are entitled to notice of the Special Meeting and to vote at the Special Meeting. As of the Record Date, there were </w:t>
      </w:r>
      <w:r>
        <w:rPr>
          <w:rFonts w:ascii="Times New Roman" w:hAnsi="Times New Roman"/>
          <w:strike/>
          <w:color w:val="000000"/>
          <w:sz w:val="20"/>
        </w:rPr>
        <w:t>61,877,575</w:t>
      </w:r>
      <w:r>
        <w:rPr>
          <w:rFonts w:ascii="Times New Roman" w:hAnsi="Times New Roman"/>
          <w:color w:val="000000"/>
          <w:sz w:val="20"/>
        </w:rPr>
        <w:t> </w:t>
      </w:r>
      <w:r>
        <w:rPr>
          <w:rFonts w:ascii="Times New Roman" w:hAnsi="Times New Roman"/>
          <w:b/>
          <w:color w:val="000000"/>
          <w:sz w:val="20"/>
          <w:u w:val="single"/>
          <w:bdr w:val="single" w:sz="2" w:space="1" w:color="000000"/>
        </w:rPr>
        <w:t>62,140,183</w:t>
      </w:r>
      <w:r>
        <w:rPr>
          <w:rFonts w:ascii="Times New Roman" w:hAnsi="Times New Roman"/>
          <w:color w:val="000000"/>
          <w:sz w:val="20"/>
        </w:rPr>
        <w:t xml:space="preserve"> shares of our voting common stock outstanding and entitled to vote at the Special Meeting. A complete list of registered stockholders as of the close of business on the Record Date will be available for inspection during ordinary business hours by stockholders of record ten days prior to the Special Meeting at our principal business offices at One Letterman Drive, Building B, Suites B6-850 and B6-800, The Presidio of San Francisco, San Francisco, California 94129-1492.</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Vote Required; Abstentions and Broker Non-Votes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The Special Meeting—Vote Required; Abstentions and Broker Non</w:t>
        <w:noBreakHyphen/>
        <w:t xml:space="preserve">Votes” </w:t>
      </w:r>
      <w:r>
        <w:rPr>
          <w:rFonts w:ascii="Times New Roman" w:hAnsi="Times New Roman"/>
          <w:i/>
          <w:color w:val="000000"/>
          <w:sz w:val="20"/>
        </w:rPr>
        <w:t>is hereby amended by deleting the following strikethrough language from and adding the following bolded and double underlined language to the fifth paragraph on page 22 of the Definitive Proxy Statement: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Each stockholder will be entitled to one vote for each share of our voting common stock that such stockholder owns at the close of business on the Record Date on each proposal to be acted upon at the Special Meeting. The affirmative vote of the holders of a majority of the shares of our voting common stock outstanding on the Record Date is required to approve the Merger Proposal. Immediately prior to the execution of the Merger Agreement, holders of our non-voting common stock executed and delivered to Apogee a written consent approving Apogee’s entry into the Merger Agreement and consummation of the Merger. The consummation of the Merger remains subject to the affirmative vote of the holders of a majority of the shares of our voting common stock outstanding on the Record Date. As of the Record Date, </w:t>
      </w:r>
      <w:r>
        <w:rPr>
          <w:rFonts w:ascii="Times New Roman" w:hAnsi="Times New Roman"/>
          <w:strike/>
          <w:color w:val="000000"/>
          <w:sz w:val="20"/>
        </w:rPr>
        <w:t>30,938,788</w:t>
      </w:r>
      <w:r>
        <w:rPr>
          <w:rFonts w:ascii="Times New Roman" w:hAnsi="Times New Roman"/>
          <w:color w:val="000000"/>
          <w:sz w:val="20"/>
        </w:rPr>
        <w:t> </w:t>
      </w:r>
      <w:r>
        <w:rPr>
          <w:rFonts w:ascii="Times New Roman" w:hAnsi="Times New Roman"/>
          <w:b/>
          <w:color w:val="000000"/>
          <w:sz w:val="20"/>
          <w:u w:val="single"/>
          <w:bdr w:val="single" w:sz="2" w:space="1" w:color="000000"/>
        </w:rPr>
        <w:t>31,070,092</w:t>
      </w:r>
      <w:r>
        <w:rPr>
          <w:rFonts w:ascii="Times New Roman" w:hAnsi="Times New Roman"/>
          <w:color w:val="000000"/>
          <w:sz w:val="20"/>
        </w:rPr>
        <w:t xml:space="preserve"> votes constitute a majority of the outstanding shares of our voting common stock. Shares deemed not in attendance at the Special Meeting (whether due to a record holder’s failure to vote or a “street name” holder’s failure to provide any voting instructions to such holder’s bank, broker or other nominee), abstentions and broker non-votes will have the same effect as a vote “</w:t>
      </w:r>
      <w:r>
        <w:rPr>
          <w:rFonts w:ascii="Times New Roman" w:hAnsi="Times New Roman"/>
          <w:b/>
          <w:color w:val="000000"/>
          <w:sz w:val="20"/>
        </w:rPr>
        <w:t>AGAINST</w:t>
      </w:r>
      <w:r>
        <w:rPr>
          <w:rFonts w:ascii="Times New Roman" w:hAnsi="Times New Roman"/>
          <w:color w:val="000000"/>
          <w:sz w:val="20"/>
        </w:rPr>
        <w:t>” the Merger Proposal. Approval of the Merger Proposal by our stockholders is a condition to the Closing.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Shares Held by our Officers and Directors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Special Meeting—Shares Held by our Officers and Directors” </w:t>
      </w:r>
      <w:r>
        <w:rPr>
          <w:rFonts w:ascii="Times New Roman" w:hAnsi="Times New Roman"/>
          <w:i/>
          <w:color w:val="000000"/>
          <w:sz w:val="20"/>
        </w:rPr>
        <w:t>is hereby amended by deleting the following strikethrough language from and adding the following bolded and double underlined language to the fourth paragraph on page 23 of the Definitive Proxy Statement: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As of the Record Date, our directors and executive officers beneficially owned and were entitled to vote, in the aggregate, </w:t>
      </w:r>
      <w:r>
        <w:rPr>
          <w:rFonts w:ascii="Times New Roman" w:hAnsi="Times New Roman"/>
          <w:strike/>
          <w:color w:val="000000"/>
          <w:sz w:val="20"/>
        </w:rPr>
        <w:t>1,301,595</w:t>
      </w:r>
      <w:r>
        <w:rPr>
          <w:rFonts w:ascii="Times New Roman" w:hAnsi="Times New Roman"/>
          <w:color w:val="000000"/>
          <w:sz w:val="20"/>
        </w:rPr>
        <w:t> </w:t>
      </w:r>
      <w:r>
        <w:rPr>
          <w:rFonts w:ascii="Times New Roman" w:hAnsi="Times New Roman"/>
          <w:b/>
          <w:color w:val="000000"/>
          <w:sz w:val="20"/>
          <w:u w:val="single"/>
          <w:bdr w:val="single" w:sz="2" w:space="1" w:color="000000"/>
        </w:rPr>
        <w:t>1,412,999</w:t>
      </w:r>
      <w:r>
        <w:rPr>
          <w:rFonts w:ascii="Times New Roman" w:hAnsi="Times New Roman"/>
          <w:color w:val="000000"/>
          <w:sz w:val="20"/>
        </w:rPr>
        <w:t xml:space="preserve"> shares of our voting common stock, representing approximately </w:t>
      </w:r>
      <w:r>
        <w:rPr>
          <w:rFonts w:ascii="Times New Roman" w:hAnsi="Times New Roman"/>
          <w:strike/>
          <w:color w:val="000000"/>
          <w:sz w:val="20"/>
        </w:rPr>
        <w:t>2.10%</w:t>
      </w:r>
      <w:r>
        <w:rPr>
          <w:rFonts w:ascii="Times New Roman" w:hAnsi="Times New Roman"/>
          <w:color w:val="000000"/>
          <w:sz w:val="20"/>
        </w:rPr>
        <w:t> </w:t>
      </w:r>
      <w:r>
        <w:rPr>
          <w:rFonts w:ascii="Times New Roman" w:hAnsi="Times New Roman"/>
          <w:b/>
          <w:color w:val="000000"/>
          <w:sz w:val="20"/>
          <w:u w:val="single"/>
          <w:bdr w:val="single" w:sz="2" w:space="1" w:color="000000"/>
        </w:rPr>
        <w:t>2.27%</w:t>
      </w:r>
      <w:r>
        <w:rPr>
          <w:rFonts w:ascii="Times New Roman" w:hAnsi="Times New Roman"/>
          <w:color w:val="000000"/>
          <w:sz w:val="20"/>
        </w:rPr>
        <w:t xml:space="preserve"> of the shares of our voting common stock outstanding on the Record Date.</w:t>
      </w:r>
    </w:p>
    <w:p>
      <w:pPr>
        <w:pStyle w:val="TextBody"/>
        <w:bidi w:val="0"/>
        <w:spacing w:before="0" w:after="0"/>
        <w:jc w:val="left"/>
        <w:rPr>
          <w:color w:val="000000"/>
        </w:rPr>
      </w:pPr>
      <w:r>
        <w:rPr>
          <w:color w:val="000000"/>
        </w:rPr>
        <w:t> </w:t>
      </w:r>
    </w:p>
    <w:p>
      <w:pPr>
        <w:pStyle w:val="TextBody"/>
        <w:bidi w:val="0"/>
        <w:spacing w:before="0" w:after="0"/>
        <w:ind w:left="360" w:right="0" w:hanging="360"/>
        <w:jc w:val="center"/>
        <w:rPr>
          <w:rFonts w:ascii="Times New Roman" w:hAnsi="Times New Roman"/>
          <w:b/>
          <w:smallCaps/>
          <w:color w:val="000000"/>
          <w:sz w:val="20"/>
        </w:rPr>
      </w:pPr>
      <w:r>
        <w:rPr>
          <w:rFonts w:ascii="Times New Roman" w:hAnsi="Times New Roman"/>
          <w:b/>
          <w:smallCaps/>
          <w:color w:val="000000"/>
          <w:sz w:val="20"/>
        </w:rPr>
        <w:t>The Merger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Interests of Apogee’s Directors and Executive Officers in the Merger</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Golden Parachute Compensation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Merger—Interests of Apogee’s Directors and Executive Officers in the Merger—Golden Parachute Compensation” </w:t>
      </w:r>
      <w:r>
        <w:rPr>
          <w:rFonts w:ascii="Times New Roman" w:hAnsi="Times New Roman"/>
          <w:i/>
          <w:color w:val="000000"/>
          <w:sz w:val="20"/>
        </w:rPr>
        <w:t>is hereby amended by deleting the following strikethrough language from and adding the following bolded and double underlined language to the first table on page 62 of the Definitive Proxy Statement:</w:t>
      </w:r>
    </w:p>
    <w:p>
      <w:pPr>
        <w:pStyle w:val="TextBody"/>
        <w:bidi w:val="0"/>
        <w:spacing w:before="0" w:after="0"/>
        <w:jc w:val="left"/>
        <w:rPr/>
      </w:pPr>
      <w:r>
        <w:rPr/>
      </w:r>
    </w:p>
    <w:p>
      <w:pPr>
        <w:pStyle w:val="Normal"/>
        <w:bidi w:val="0"/>
        <w:spacing w:before="0" w:after="0"/>
        <w:ind w:left="720" w:right="0" w:hanging="0"/>
        <w:jc w:val="left"/>
        <w:rPr>
          <w:sz w:val="4"/>
          <w:szCs w:val="4"/>
        </w:rPr>
      </w:pPr>
      <w:r>
        <w:rPr>
          <w:sz w:val="4"/>
          <w:szCs w:val="4"/>
        </w:rPr>
      </w:r>
      <w:bookmarkStart w:id="30" w:name="zd8d3c01412d14664bc39c057faca2e19"/>
      <w:bookmarkStart w:id="31" w:name="zd8d3c01412d14664bc39c057faca2e19"/>
      <w:bookmarkEnd w:id="31"/>
    </w:p>
    <w:tbl>
      <w:tblPr>
        <w:tblW w:w="12181" w:type="dxa"/>
        <w:jc w:val="left"/>
        <w:tblInd w:w="720" w:type="dxa"/>
        <w:tblLayout w:type="fixed"/>
        <w:tblCellMar>
          <w:top w:w="0" w:type="dxa"/>
          <w:left w:w="0" w:type="dxa"/>
          <w:bottom w:w="0" w:type="dxa"/>
          <w:right w:w="0" w:type="dxa"/>
        </w:tblCellMar>
      </w:tblPr>
      <w:tblGrid>
        <w:gridCol w:w="1411"/>
        <w:gridCol w:w="196"/>
        <w:gridCol w:w="196"/>
        <w:gridCol w:w="1036"/>
        <w:gridCol w:w="196"/>
        <w:gridCol w:w="196"/>
        <w:gridCol w:w="2596"/>
        <w:gridCol w:w="196"/>
        <w:gridCol w:w="196"/>
        <w:gridCol w:w="1186"/>
        <w:gridCol w:w="196"/>
        <w:gridCol w:w="196"/>
        <w:gridCol w:w="1696"/>
        <w:gridCol w:w="196"/>
        <w:gridCol w:w="196"/>
        <w:gridCol w:w="2296"/>
      </w:tblGrid>
      <w:tr>
        <w:trPr/>
        <w:tc>
          <w:tcPr>
            <w:tcW w:w="1411" w:type="dxa"/>
            <w:tcBorders/>
            <w:vAlign w:val="bottom"/>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278" w:type="dxa"/>
            <w:gridSpan w:val="13"/>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Golden Parachute Compensation</w:t>
            </w:r>
          </w:p>
        </w:tc>
        <w:tc>
          <w:tcPr>
            <w:tcW w:w="2296"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1411" w:type="dxa"/>
            <w:tcBorders>
              <w:bottom w:val="single" w:sz="12" w:space="0" w:color="000000"/>
            </w:tcBorders>
            <w:tcMar>
              <w:bottom w:w="28" w:type="dxa"/>
            </w:tcMar>
            <w:vAlign w:val="bottom"/>
          </w:tcPr>
          <w:p>
            <w:pPr>
              <w:pStyle w:val="TableContents"/>
              <w:bidi w:val="0"/>
              <w:spacing w:lineRule="auto" w:line="240" w:before="0" w:after="0"/>
              <w:jc w:val="left"/>
              <w:rPr>
                <w:b/>
                <w:color w:val="000000"/>
              </w:rPr>
            </w:pPr>
            <w:r>
              <w:rPr>
                <w:b/>
                <w:color w:val="000000"/>
              </w:rPr>
              <w:t>Name(1)</w:t>
            </w:r>
          </w:p>
        </w:tc>
        <w:tc>
          <w:tcPr>
            <w:tcW w:w="196" w:type="dxa"/>
            <w:tcBorders/>
            <w:vAlign w:val="center"/>
          </w:tcPr>
          <w:p>
            <w:pPr>
              <w:pStyle w:val="TableContents"/>
              <w:bidi w:val="0"/>
              <w:spacing w:before="0" w:after="0"/>
              <w:jc w:val="left"/>
              <w:rPr/>
            </w:pPr>
            <w:r>
              <w:rPr/>
              <w:t> </w:t>
            </w:r>
          </w:p>
        </w:tc>
        <w:tc>
          <w:tcPr>
            <w:tcW w:w="196" w:type="dxa"/>
            <w:tcBorders/>
            <w:vAlign w:val="center"/>
          </w:tcPr>
          <w:p>
            <w:pPr>
              <w:pStyle w:val="TableContents"/>
              <w:bidi w:val="0"/>
              <w:spacing w:before="0" w:after="0"/>
              <w:jc w:val="left"/>
              <w:rPr/>
            </w:pPr>
            <w:r>
              <w:rPr/>
              <w:t> </w:t>
            </w:r>
          </w:p>
        </w:tc>
        <w:tc>
          <w:tcPr>
            <w:tcW w:w="1036"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Cash</w:t>
            </w:r>
          </w:p>
          <w:p>
            <w:pPr>
              <w:pStyle w:val="TableContents"/>
              <w:bidi w:val="0"/>
              <w:spacing w:lineRule="auto" w:line="240" w:before="0" w:after="0"/>
              <w:jc w:val="center"/>
              <w:rPr>
                <w:b/>
                <w:color w:val="000000"/>
              </w:rPr>
            </w:pPr>
            <w:r>
              <w:rPr>
                <w:b/>
                <w:color w:val="000000"/>
              </w:rPr>
              <w:t>($)(2)</w:t>
            </w:r>
          </w:p>
        </w:tc>
        <w:tc>
          <w:tcPr>
            <w:tcW w:w="196" w:type="dxa"/>
            <w:tcBorders/>
            <w:vAlign w:val="center"/>
          </w:tcPr>
          <w:p>
            <w:pPr>
              <w:pStyle w:val="TableContents"/>
              <w:bidi w:val="0"/>
              <w:spacing w:before="0" w:after="0"/>
              <w:jc w:val="left"/>
              <w:rPr/>
            </w:pPr>
            <w:r>
              <w:rPr/>
              <w:t> </w:t>
            </w:r>
          </w:p>
        </w:tc>
        <w:tc>
          <w:tcPr>
            <w:tcW w:w="196" w:type="dxa"/>
            <w:tcBorders/>
            <w:vAlign w:val="bottom"/>
          </w:tcPr>
          <w:p>
            <w:pPr>
              <w:pStyle w:val="TableContents"/>
              <w:bidi w:val="0"/>
              <w:spacing w:before="0" w:after="0"/>
              <w:jc w:val="left"/>
              <w:rPr/>
            </w:pPr>
            <w:r>
              <w:rPr/>
              <w:t> </w:t>
            </w:r>
          </w:p>
        </w:tc>
        <w:tc>
          <w:tcPr>
            <w:tcW w:w="2596"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Equity</w:t>
            </w:r>
          </w:p>
          <w:p>
            <w:pPr>
              <w:pStyle w:val="TableContents"/>
              <w:bidi w:val="0"/>
              <w:spacing w:lineRule="auto" w:line="240" w:before="0" w:after="0"/>
              <w:jc w:val="center"/>
              <w:rPr>
                <w:b/>
                <w:color w:val="000000"/>
              </w:rPr>
            </w:pPr>
            <w:r>
              <w:rPr>
                <w:b/>
                <w:color w:val="000000"/>
              </w:rPr>
              <w:t>($)(3)</w:t>
            </w:r>
          </w:p>
        </w:tc>
        <w:tc>
          <w:tcPr>
            <w:tcW w:w="196" w:type="dxa"/>
            <w:tcBorders/>
            <w:vAlign w:val="bottom"/>
          </w:tcPr>
          <w:p>
            <w:pPr>
              <w:pStyle w:val="TableContents"/>
              <w:bidi w:val="0"/>
              <w:spacing w:before="0" w:after="0"/>
              <w:jc w:val="left"/>
              <w:rPr/>
            </w:pPr>
            <w:r>
              <w:rPr/>
              <w:t> </w:t>
            </w:r>
          </w:p>
        </w:tc>
        <w:tc>
          <w:tcPr>
            <w:tcW w:w="196" w:type="dxa"/>
            <w:tcBorders/>
            <w:vAlign w:val="bottom"/>
          </w:tcPr>
          <w:p>
            <w:pPr>
              <w:pStyle w:val="TableContents"/>
              <w:bidi w:val="0"/>
              <w:spacing w:before="0" w:after="0"/>
              <w:jc w:val="left"/>
              <w:rPr/>
            </w:pPr>
            <w:r>
              <w:rPr/>
              <w:t> </w:t>
            </w:r>
          </w:p>
        </w:tc>
        <w:tc>
          <w:tcPr>
            <w:tcW w:w="1186"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Perquisites/</w:t>
            </w:r>
          </w:p>
          <w:p>
            <w:pPr>
              <w:pStyle w:val="TableContents"/>
              <w:bidi w:val="0"/>
              <w:spacing w:before="0" w:after="0"/>
              <w:jc w:val="center"/>
              <w:rPr>
                <w:b/>
                <w:color w:val="000000"/>
              </w:rPr>
            </w:pPr>
            <w:r>
              <w:rPr>
                <w:b/>
                <w:color w:val="000000"/>
              </w:rPr>
              <w:t>Benefits</w:t>
            </w:r>
          </w:p>
          <w:p>
            <w:pPr>
              <w:pStyle w:val="TableContents"/>
              <w:bidi w:val="0"/>
              <w:spacing w:lineRule="auto" w:line="240" w:before="0" w:after="0"/>
              <w:jc w:val="center"/>
              <w:rPr>
                <w:b/>
                <w:color w:val="000000"/>
              </w:rPr>
            </w:pPr>
            <w:r>
              <w:rPr>
                <w:b/>
                <w:color w:val="000000"/>
              </w:rPr>
              <w:t>($)(4)</w:t>
            </w:r>
          </w:p>
        </w:tc>
        <w:tc>
          <w:tcPr>
            <w:tcW w:w="196" w:type="dxa"/>
            <w:tcBorders/>
            <w:vAlign w:val="bottom"/>
          </w:tcPr>
          <w:p>
            <w:pPr>
              <w:pStyle w:val="TableContents"/>
              <w:bidi w:val="0"/>
              <w:spacing w:before="0" w:after="0"/>
              <w:jc w:val="left"/>
              <w:rPr/>
            </w:pPr>
            <w:r>
              <w:rPr/>
              <w:t> </w:t>
            </w:r>
          </w:p>
        </w:tc>
        <w:tc>
          <w:tcPr>
            <w:tcW w:w="196" w:type="dxa"/>
            <w:tcBorders/>
            <w:vAlign w:val="bottom"/>
          </w:tcPr>
          <w:p>
            <w:pPr>
              <w:pStyle w:val="TableContents"/>
              <w:bidi w:val="0"/>
              <w:spacing w:before="0" w:after="0"/>
              <w:jc w:val="left"/>
              <w:rPr/>
            </w:pPr>
            <w:r>
              <w:rPr/>
              <w:t> </w:t>
            </w:r>
          </w:p>
        </w:tc>
        <w:tc>
          <w:tcPr>
            <w:tcW w:w="1696"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Tax</w:t>
            </w:r>
          </w:p>
          <w:p>
            <w:pPr>
              <w:pStyle w:val="TableContents"/>
              <w:bidi w:val="0"/>
              <w:spacing w:before="0" w:after="0"/>
              <w:jc w:val="center"/>
              <w:rPr>
                <w:b/>
                <w:color w:val="000000"/>
              </w:rPr>
            </w:pPr>
            <w:r>
              <w:rPr>
                <w:b/>
                <w:color w:val="000000"/>
              </w:rPr>
              <w:t>Reimbursement</w:t>
            </w:r>
          </w:p>
          <w:p>
            <w:pPr>
              <w:pStyle w:val="TableContents"/>
              <w:bidi w:val="0"/>
              <w:spacing w:lineRule="auto" w:line="240" w:before="0" w:after="0"/>
              <w:jc w:val="center"/>
              <w:rPr>
                <w:b/>
                <w:color w:val="000000"/>
              </w:rPr>
            </w:pPr>
            <w:r>
              <w:rPr>
                <w:b/>
                <w:color w:val="000000"/>
              </w:rPr>
              <w:t>($)(5)</w:t>
            </w:r>
          </w:p>
        </w:tc>
        <w:tc>
          <w:tcPr>
            <w:tcW w:w="196" w:type="dxa"/>
            <w:tcBorders/>
            <w:vAlign w:val="bottom"/>
          </w:tcPr>
          <w:p>
            <w:pPr>
              <w:pStyle w:val="TableContents"/>
              <w:bidi w:val="0"/>
              <w:spacing w:before="0" w:after="0"/>
              <w:jc w:val="left"/>
              <w:rPr/>
            </w:pPr>
            <w:r>
              <w:rPr/>
              <w:t> </w:t>
            </w:r>
          </w:p>
        </w:tc>
        <w:tc>
          <w:tcPr>
            <w:tcW w:w="196" w:type="dxa"/>
            <w:tcBorders/>
            <w:vAlign w:val="bottom"/>
          </w:tcPr>
          <w:p>
            <w:pPr>
              <w:pStyle w:val="TableContents"/>
              <w:bidi w:val="0"/>
              <w:spacing w:before="0" w:after="0"/>
              <w:jc w:val="left"/>
              <w:rPr/>
            </w:pPr>
            <w:r>
              <w:rPr/>
              <w:t> </w:t>
            </w:r>
          </w:p>
        </w:tc>
        <w:tc>
          <w:tcPr>
            <w:tcW w:w="2296"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w:t>
            </w:r>
          </w:p>
        </w:tc>
      </w:tr>
      <w:tr>
        <w:trPr/>
        <w:tc>
          <w:tcPr>
            <w:tcW w:w="1411" w:type="dxa"/>
            <w:tcBorders/>
            <w:shd w:fill="CCEEFF" w:val="clear"/>
            <w:tcMar>
              <w:top w:w="28" w:type="dxa"/>
              <w:left w:w="28" w:type="dxa"/>
              <w:bottom w:w="28" w:type="dxa"/>
              <w:right w:w="28" w:type="dxa"/>
            </w:tcMar>
            <w:vAlign w:val="bottom"/>
          </w:tcPr>
          <w:p>
            <w:pPr>
              <w:pStyle w:val="TableContents"/>
              <w:bidi w:val="0"/>
              <w:spacing w:before="0" w:after="0"/>
              <w:jc w:val="left"/>
              <w:rPr>
                <w:color w:val="000000"/>
              </w:rPr>
            </w:pPr>
            <w:r>
              <w:rPr>
                <w:color w:val="000000"/>
              </w:rPr>
              <w:t>Michael Henderson, M.D.</w:t>
            </w:r>
          </w:p>
        </w:tc>
        <w:tc>
          <w:tcPr>
            <w:tcW w:w="196" w:type="dxa"/>
            <w:tcBorders/>
            <w:shd w:fill="CCEEFF" w:val="clear"/>
            <w:tcMar>
              <w:top w:w="28" w:type="dxa"/>
              <w:left w:w="28" w:type="dxa"/>
              <w:bottom w:w="28" w:type="dxa"/>
              <w:right w:w="28" w:type="dxa"/>
            </w:tcMar>
            <w:vAlign w:val="center"/>
          </w:tcPr>
          <w:p>
            <w:pPr>
              <w:pStyle w:val="TableContents"/>
              <w:bidi w:val="0"/>
              <w:spacing w:before="0" w:after="0"/>
              <w:jc w:val="left"/>
              <w:rPr/>
            </w:pPr>
            <w:r>
              <w:rPr/>
              <w:t> </w:t>
            </w:r>
          </w:p>
        </w:tc>
        <w:tc>
          <w:tcPr>
            <w:tcW w:w="196" w:type="dxa"/>
            <w:tcBorders/>
            <w:shd w:fill="CCEEFF" w:val="clear"/>
            <w:tcMar>
              <w:top w:w="28" w:type="dxa"/>
              <w:left w:w="28" w:type="dxa"/>
              <w:bottom w:w="28" w:type="dxa"/>
              <w:right w:w="28" w:type="dxa"/>
            </w:tcMar>
            <w:vAlign w:val="center"/>
          </w:tcPr>
          <w:p>
            <w:pPr>
              <w:pStyle w:val="TableContents"/>
              <w:bidi w:val="0"/>
              <w:spacing w:before="0" w:after="0"/>
              <w:jc w:val="left"/>
              <w:rPr/>
            </w:pPr>
            <w:r>
              <w:rPr/>
              <w:t> </w:t>
            </w:r>
          </w:p>
        </w:tc>
        <w:tc>
          <w:tcPr>
            <w:tcW w:w="1036" w:type="dxa"/>
            <w:tcBorders/>
            <w:shd w:fill="CCEEFF" w:val="clear"/>
            <w:tcMar>
              <w:top w:w="28" w:type="dxa"/>
              <w:left w:w="28" w:type="dxa"/>
              <w:bottom w:w="28" w:type="dxa"/>
              <w:right w:w="28" w:type="dxa"/>
            </w:tcMar>
            <w:vAlign w:val="center"/>
          </w:tcPr>
          <w:p>
            <w:pPr>
              <w:pStyle w:val="TableContents"/>
              <w:bidi w:val="0"/>
              <w:spacing w:before="0" w:after="0"/>
              <w:jc w:val="right"/>
              <w:rPr>
                <w:color w:val="000000"/>
              </w:rPr>
            </w:pPr>
            <w:r>
              <w:rPr>
                <w:color w:val="000000"/>
              </w:rPr>
              <w:t>1,548,000</w:t>
            </w:r>
          </w:p>
        </w:tc>
        <w:tc>
          <w:tcPr>
            <w:tcW w:w="196" w:type="dxa"/>
            <w:tcBorders/>
            <w:shd w:fill="CCEEFF" w:val="clear"/>
            <w:tcMar>
              <w:top w:w="28" w:type="dxa"/>
              <w:left w:w="28" w:type="dxa"/>
              <w:bottom w:w="28" w:type="dxa"/>
              <w:right w:w="28" w:type="dxa"/>
            </w:tcMar>
            <w:vAlign w:val="center"/>
          </w:tcPr>
          <w:p>
            <w:pPr>
              <w:pStyle w:val="TableContents"/>
              <w:bidi w:val="0"/>
              <w:spacing w:before="0" w:after="0"/>
              <w:jc w:val="right"/>
              <w:rPr/>
            </w:pPr>
            <w:r>
              <w:rPr/>
              <w:t> </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2596" w:type="dxa"/>
            <w:tcBorders/>
            <w:shd w:fill="CCEEFF" w:val="clear"/>
            <w:tcMar>
              <w:top w:w="28" w:type="dxa"/>
              <w:left w:w="28" w:type="dxa"/>
              <w:bottom w:w="28" w:type="dxa"/>
              <w:right w:w="28" w:type="dxa"/>
            </w:tcMar>
            <w:vAlign w:val="bottom"/>
          </w:tcPr>
          <w:p>
            <w:pPr>
              <w:pStyle w:val="TableContents"/>
              <w:bidi w:val="0"/>
              <w:spacing w:before="0" w:after="0"/>
              <w:jc w:val="right"/>
              <w:rPr>
                <w:color w:val="000000"/>
              </w:rPr>
            </w:pPr>
            <w:r>
              <w:rPr>
                <w:strike/>
                <w:color w:val="000000"/>
              </w:rPr>
              <w:t>49,422,315.55</w:t>
            </w:r>
            <w:r>
              <w:rPr>
                <w:color w:val="000000"/>
              </w:rPr>
              <w:t> </w:t>
            </w:r>
            <w:r>
              <w:rPr>
                <w:b/>
                <w:color w:val="000000"/>
                <w:u w:val="single"/>
                <w:bdr w:val="single" w:sz="2" w:space="1" w:color="000000"/>
              </w:rPr>
              <w:t>54,275,872</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r>
          </w:p>
        </w:tc>
        <w:tc>
          <w:tcPr>
            <w:tcW w:w="1186" w:type="dxa"/>
            <w:tcBorders/>
            <w:shd w:fill="CCEEFF" w:val="clear"/>
            <w:tcMar>
              <w:top w:w="28" w:type="dxa"/>
              <w:left w:w="28" w:type="dxa"/>
              <w:bottom w:w="28" w:type="dxa"/>
              <w:right w:w="28" w:type="dxa"/>
            </w:tcMar>
            <w:vAlign w:val="bottom"/>
          </w:tcPr>
          <w:p>
            <w:pPr>
              <w:pStyle w:val="TableContents"/>
              <w:bidi w:val="0"/>
              <w:spacing w:before="0" w:after="0"/>
              <w:jc w:val="right"/>
              <w:rPr>
                <w:color w:val="000000"/>
              </w:rPr>
            </w:pPr>
            <w:r>
              <w:rPr>
                <w:color w:val="000000"/>
              </w:rPr>
              <w:t>59,000</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1696" w:type="dxa"/>
            <w:tcBorders/>
            <w:shd w:fill="CCEEFF" w:val="clear"/>
            <w:tcMar>
              <w:top w:w="28" w:type="dxa"/>
              <w:left w:w="28" w:type="dxa"/>
              <w:bottom w:w="28" w:type="dxa"/>
              <w:right w:w="28" w:type="dxa"/>
            </w:tcMar>
            <w:vAlign w:val="bottom"/>
          </w:tcPr>
          <w:p>
            <w:pPr>
              <w:pStyle w:val="TableContents"/>
              <w:bidi w:val="0"/>
              <w:spacing w:before="0" w:after="0"/>
              <w:jc w:val="right"/>
              <w:rPr>
                <w:color w:val="000000"/>
              </w:rPr>
            </w:pPr>
            <w:r>
              <w:rPr>
                <w:color w:val="000000"/>
              </w:rPr>
              <w:t>5,412,441</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2296" w:type="dxa"/>
            <w:tcBorders/>
            <w:shd w:fill="CCEEFF" w:val="clear"/>
            <w:tcMar>
              <w:top w:w="28" w:type="dxa"/>
              <w:left w:w="28" w:type="dxa"/>
              <w:bottom w:w="28" w:type="dxa"/>
              <w:right w:w="28" w:type="dxa"/>
            </w:tcMar>
            <w:vAlign w:val="bottom"/>
          </w:tcPr>
          <w:p>
            <w:pPr>
              <w:pStyle w:val="TableContents"/>
              <w:bidi w:val="0"/>
              <w:spacing w:before="0" w:after="0"/>
              <w:jc w:val="right"/>
              <w:rPr>
                <w:color w:val="000000"/>
              </w:rPr>
            </w:pPr>
            <w:r>
              <w:rPr>
                <w:strike/>
                <w:color w:val="000000"/>
              </w:rPr>
              <w:t>56,441,757</w:t>
            </w:r>
            <w:r>
              <w:rPr>
                <w:color w:val="000000"/>
              </w:rPr>
              <w:t> </w:t>
            </w:r>
            <w:r>
              <w:rPr>
                <w:b/>
                <w:color w:val="000000"/>
                <w:u w:val="single"/>
                <w:bdr w:val="single" w:sz="2" w:space="1" w:color="000000"/>
              </w:rPr>
              <w:t>61,295,313</w:t>
            </w:r>
          </w:p>
        </w:tc>
      </w:tr>
      <w:tr>
        <w:trPr/>
        <w:tc>
          <w:tcPr>
            <w:tcW w:w="1411" w:type="dxa"/>
            <w:tcBorders/>
            <w:tcMar>
              <w:top w:w="28" w:type="dxa"/>
              <w:left w:w="28" w:type="dxa"/>
              <w:bottom w:w="28" w:type="dxa"/>
              <w:right w:w="28" w:type="dxa"/>
            </w:tcMar>
            <w:vAlign w:val="bottom"/>
          </w:tcPr>
          <w:p>
            <w:pPr>
              <w:pStyle w:val="TableContents"/>
              <w:bidi w:val="0"/>
              <w:spacing w:before="0" w:after="0"/>
              <w:jc w:val="left"/>
              <w:rPr>
                <w:color w:val="000000"/>
              </w:rPr>
            </w:pPr>
            <w:r>
              <w:rPr>
                <w:color w:val="000000"/>
              </w:rPr>
              <w:t>Carl Dambkowski, M.D.</w:t>
            </w:r>
          </w:p>
        </w:tc>
        <w:tc>
          <w:tcPr>
            <w:tcW w:w="196" w:type="dxa"/>
            <w:tcBorders/>
            <w:tcMar>
              <w:top w:w="28" w:type="dxa"/>
              <w:left w:w="28" w:type="dxa"/>
              <w:bottom w:w="28" w:type="dxa"/>
              <w:right w:w="28" w:type="dxa"/>
            </w:tcMar>
            <w:vAlign w:val="center"/>
          </w:tcPr>
          <w:p>
            <w:pPr>
              <w:pStyle w:val="TableContents"/>
              <w:bidi w:val="0"/>
              <w:spacing w:before="0" w:after="283"/>
              <w:jc w:val="left"/>
              <w:rPr/>
            </w:pPr>
            <w:r>
              <w:rPr/>
            </w:r>
          </w:p>
        </w:tc>
        <w:tc>
          <w:tcPr>
            <w:tcW w:w="196" w:type="dxa"/>
            <w:tcBorders/>
            <w:tcMar>
              <w:top w:w="28" w:type="dxa"/>
              <w:left w:w="28" w:type="dxa"/>
              <w:bottom w:w="28" w:type="dxa"/>
              <w:right w:w="28" w:type="dxa"/>
            </w:tcMar>
            <w:vAlign w:val="center"/>
          </w:tcPr>
          <w:p>
            <w:pPr>
              <w:pStyle w:val="TableContents"/>
              <w:bidi w:val="0"/>
              <w:spacing w:before="0" w:after="283"/>
              <w:jc w:val="left"/>
              <w:rPr/>
            </w:pPr>
            <w:r>
              <w:rPr/>
            </w:r>
          </w:p>
        </w:tc>
        <w:tc>
          <w:tcPr>
            <w:tcW w:w="1036" w:type="dxa"/>
            <w:tcBorders/>
            <w:tcMar>
              <w:top w:w="28" w:type="dxa"/>
              <w:left w:w="28" w:type="dxa"/>
              <w:bottom w:w="28" w:type="dxa"/>
              <w:right w:w="28" w:type="dxa"/>
            </w:tcMar>
            <w:vAlign w:val="center"/>
          </w:tcPr>
          <w:p>
            <w:pPr>
              <w:pStyle w:val="TableContents"/>
              <w:bidi w:val="0"/>
              <w:spacing w:before="0" w:after="0"/>
              <w:jc w:val="right"/>
              <w:rPr>
                <w:color w:val="000000"/>
              </w:rPr>
            </w:pPr>
            <w:r>
              <w:rPr>
                <w:color w:val="000000"/>
              </w:rPr>
              <w:t>807,650</w:t>
            </w:r>
          </w:p>
        </w:tc>
        <w:tc>
          <w:tcPr>
            <w:tcW w:w="196" w:type="dxa"/>
            <w:tcBorders/>
            <w:tcMar>
              <w:top w:w="28" w:type="dxa"/>
              <w:left w:w="28" w:type="dxa"/>
              <w:bottom w:w="28" w:type="dxa"/>
              <w:right w:w="28" w:type="dxa"/>
            </w:tcMar>
            <w:vAlign w:val="center"/>
          </w:tcPr>
          <w:p>
            <w:pPr>
              <w:pStyle w:val="TableContents"/>
              <w:bidi w:val="0"/>
              <w:spacing w:before="0" w:after="283"/>
              <w:jc w:val="left"/>
              <w:rPr/>
            </w:pPr>
            <w:r>
              <w:rPr/>
            </w:r>
          </w:p>
        </w:tc>
        <w:tc>
          <w:tcPr>
            <w:tcW w:w="196" w:type="dxa"/>
            <w:tcBorders/>
            <w:tcMar>
              <w:top w:w="28" w:type="dxa"/>
              <w:left w:w="28" w:type="dxa"/>
              <w:bottom w:w="28" w:type="dxa"/>
              <w:right w:w="28" w:type="dxa"/>
            </w:tcMar>
            <w:vAlign w:val="bottom"/>
          </w:tcPr>
          <w:p>
            <w:pPr>
              <w:pStyle w:val="TableContents"/>
              <w:bidi w:val="0"/>
              <w:spacing w:before="0" w:after="283"/>
              <w:jc w:val="left"/>
              <w:rPr/>
            </w:pPr>
            <w:r>
              <w:rPr/>
            </w:r>
          </w:p>
        </w:tc>
        <w:tc>
          <w:tcPr>
            <w:tcW w:w="2596" w:type="dxa"/>
            <w:tcBorders/>
            <w:tcMar>
              <w:top w:w="28" w:type="dxa"/>
              <w:left w:w="28" w:type="dxa"/>
              <w:bottom w:w="28" w:type="dxa"/>
              <w:right w:w="28" w:type="dxa"/>
            </w:tcMar>
            <w:vAlign w:val="bottom"/>
          </w:tcPr>
          <w:p>
            <w:pPr>
              <w:pStyle w:val="TableContents"/>
              <w:bidi w:val="0"/>
              <w:spacing w:before="0" w:after="0"/>
              <w:jc w:val="right"/>
              <w:rPr>
                <w:color w:val="000000"/>
              </w:rPr>
            </w:pPr>
            <w:r>
              <w:rPr>
                <w:strike/>
                <w:color w:val="000000"/>
              </w:rPr>
              <w:t xml:space="preserve">18,549,042.92 </w:t>
            </w:r>
            <w:r>
              <w:rPr>
                <w:b/>
                <w:color w:val="000000"/>
                <w:u w:val="single"/>
                <w:bdr w:val="single" w:sz="2" w:space="1" w:color="000000"/>
              </w:rPr>
              <w:t>22,514,521</w:t>
            </w:r>
          </w:p>
        </w:tc>
        <w:tc>
          <w:tcPr>
            <w:tcW w:w="196" w:type="dxa"/>
            <w:tcBorders/>
            <w:tcMar>
              <w:top w:w="28" w:type="dxa"/>
              <w:left w:w="28" w:type="dxa"/>
              <w:bottom w:w="28" w:type="dxa"/>
              <w:right w:w="28" w:type="dxa"/>
            </w:tcMar>
            <w:vAlign w:val="bottom"/>
          </w:tcPr>
          <w:p>
            <w:pPr>
              <w:pStyle w:val="TableContents"/>
              <w:bidi w:val="0"/>
              <w:spacing w:before="0" w:after="283"/>
              <w:jc w:val="left"/>
              <w:rPr/>
            </w:pPr>
            <w:r>
              <w:rPr/>
            </w:r>
          </w:p>
        </w:tc>
        <w:tc>
          <w:tcPr>
            <w:tcW w:w="196" w:type="dxa"/>
            <w:tcBorders/>
            <w:tcMar>
              <w:top w:w="28" w:type="dxa"/>
              <w:left w:w="28" w:type="dxa"/>
              <w:bottom w:w="28" w:type="dxa"/>
              <w:right w:w="28" w:type="dxa"/>
            </w:tcMar>
            <w:vAlign w:val="bottom"/>
          </w:tcPr>
          <w:p>
            <w:pPr>
              <w:pStyle w:val="TableContents"/>
              <w:bidi w:val="0"/>
              <w:spacing w:before="0" w:after="283"/>
              <w:jc w:val="left"/>
              <w:rPr/>
            </w:pPr>
            <w:r>
              <w:rPr/>
            </w:r>
          </w:p>
        </w:tc>
        <w:tc>
          <w:tcPr>
            <w:tcW w:w="1186" w:type="dxa"/>
            <w:tcBorders/>
            <w:tcMar>
              <w:top w:w="28" w:type="dxa"/>
              <w:left w:w="28" w:type="dxa"/>
              <w:bottom w:w="28" w:type="dxa"/>
              <w:right w:w="28" w:type="dxa"/>
            </w:tcMar>
            <w:vAlign w:val="bottom"/>
          </w:tcPr>
          <w:p>
            <w:pPr>
              <w:pStyle w:val="TableContents"/>
              <w:bidi w:val="0"/>
              <w:spacing w:before="0" w:after="0"/>
              <w:jc w:val="right"/>
              <w:rPr>
                <w:color w:val="000000"/>
              </w:rPr>
            </w:pPr>
            <w:r>
              <w:rPr>
                <w:color w:val="000000"/>
              </w:rPr>
              <w:t>31,000</w:t>
            </w:r>
          </w:p>
        </w:tc>
        <w:tc>
          <w:tcPr>
            <w:tcW w:w="196" w:type="dxa"/>
            <w:tcBorders/>
            <w:tcMar>
              <w:top w:w="28" w:type="dxa"/>
              <w:left w:w="28" w:type="dxa"/>
              <w:bottom w:w="28" w:type="dxa"/>
              <w:right w:w="28" w:type="dxa"/>
            </w:tcMar>
            <w:vAlign w:val="bottom"/>
          </w:tcPr>
          <w:p>
            <w:pPr>
              <w:pStyle w:val="TableContents"/>
              <w:bidi w:val="0"/>
              <w:spacing w:before="0" w:after="0"/>
              <w:jc w:val="right"/>
              <w:rPr/>
            </w:pPr>
            <w:r>
              <w:rPr/>
              <w:t> </w:t>
            </w:r>
          </w:p>
        </w:tc>
        <w:tc>
          <w:tcPr>
            <w:tcW w:w="196" w:type="dxa"/>
            <w:tcBorders/>
            <w:tcMar>
              <w:top w:w="28" w:type="dxa"/>
              <w:left w:w="28" w:type="dxa"/>
              <w:bottom w:w="28" w:type="dxa"/>
              <w:right w:w="28" w:type="dxa"/>
            </w:tcMar>
            <w:vAlign w:val="bottom"/>
          </w:tcPr>
          <w:p>
            <w:pPr>
              <w:pStyle w:val="TableContents"/>
              <w:bidi w:val="0"/>
              <w:spacing w:before="0" w:after="0"/>
              <w:jc w:val="right"/>
              <w:rPr/>
            </w:pPr>
            <w:r>
              <w:rPr/>
              <w:t> </w:t>
            </w:r>
          </w:p>
        </w:tc>
        <w:tc>
          <w:tcPr>
            <w:tcW w:w="1696" w:type="dxa"/>
            <w:tcBorders/>
            <w:tcMar>
              <w:top w:w="28" w:type="dxa"/>
              <w:left w:w="28" w:type="dxa"/>
              <w:bottom w:w="28" w:type="dxa"/>
              <w:right w:w="28" w:type="dxa"/>
            </w:tcMar>
            <w:vAlign w:val="bottom"/>
          </w:tcPr>
          <w:p>
            <w:pPr>
              <w:pStyle w:val="TableContents"/>
              <w:bidi w:val="0"/>
              <w:spacing w:before="0" w:after="0"/>
              <w:jc w:val="right"/>
              <w:rPr>
                <w:color w:val="000000"/>
              </w:rPr>
            </w:pPr>
            <w:r>
              <w:rPr>
                <w:color w:val="000000"/>
              </w:rPr>
              <w:t>2,240,801</w:t>
            </w:r>
          </w:p>
        </w:tc>
        <w:tc>
          <w:tcPr>
            <w:tcW w:w="196" w:type="dxa"/>
            <w:tcBorders/>
            <w:tcMar>
              <w:top w:w="28" w:type="dxa"/>
              <w:left w:w="28" w:type="dxa"/>
              <w:bottom w:w="28" w:type="dxa"/>
              <w:right w:w="28" w:type="dxa"/>
            </w:tcMar>
            <w:vAlign w:val="bottom"/>
          </w:tcPr>
          <w:p>
            <w:pPr>
              <w:pStyle w:val="TableContents"/>
              <w:bidi w:val="0"/>
              <w:spacing w:before="0" w:after="0"/>
              <w:jc w:val="right"/>
              <w:rPr/>
            </w:pPr>
            <w:r>
              <w:rPr/>
              <w:t> </w:t>
            </w:r>
          </w:p>
        </w:tc>
        <w:tc>
          <w:tcPr>
            <w:tcW w:w="196" w:type="dxa"/>
            <w:tcBorders/>
            <w:tcMar>
              <w:top w:w="28" w:type="dxa"/>
              <w:left w:w="28" w:type="dxa"/>
              <w:bottom w:w="28" w:type="dxa"/>
              <w:right w:w="28" w:type="dxa"/>
            </w:tcMar>
            <w:vAlign w:val="bottom"/>
          </w:tcPr>
          <w:p>
            <w:pPr>
              <w:pStyle w:val="TableContents"/>
              <w:bidi w:val="0"/>
              <w:spacing w:before="0" w:after="0"/>
              <w:jc w:val="right"/>
              <w:rPr/>
            </w:pPr>
            <w:r>
              <w:rPr/>
              <w:t> </w:t>
            </w:r>
          </w:p>
        </w:tc>
        <w:tc>
          <w:tcPr>
            <w:tcW w:w="2296" w:type="dxa"/>
            <w:tcBorders/>
            <w:tcMar>
              <w:top w:w="28" w:type="dxa"/>
              <w:left w:w="28" w:type="dxa"/>
              <w:bottom w:w="28" w:type="dxa"/>
              <w:right w:w="28" w:type="dxa"/>
            </w:tcMar>
            <w:vAlign w:val="bottom"/>
          </w:tcPr>
          <w:p>
            <w:pPr>
              <w:pStyle w:val="TableContents"/>
              <w:bidi w:val="0"/>
              <w:spacing w:before="0" w:after="0"/>
              <w:jc w:val="right"/>
              <w:rPr>
                <w:color w:val="000000"/>
              </w:rPr>
            </w:pPr>
            <w:r>
              <w:rPr>
                <w:strike/>
                <w:color w:val="000000"/>
              </w:rPr>
              <w:t xml:space="preserve">21,628,494 </w:t>
            </w:r>
            <w:r>
              <w:rPr>
                <w:b/>
                <w:color w:val="000000"/>
                <w:u w:val="single"/>
                <w:bdr w:val="single" w:sz="2" w:space="1" w:color="000000"/>
              </w:rPr>
              <w:t>25,593,972</w:t>
            </w:r>
          </w:p>
        </w:tc>
      </w:tr>
      <w:tr>
        <w:trPr/>
        <w:tc>
          <w:tcPr>
            <w:tcW w:w="1411" w:type="dxa"/>
            <w:tcBorders/>
            <w:shd w:fill="CCEEFF" w:val="clear"/>
            <w:tcMar>
              <w:top w:w="28" w:type="dxa"/>
              <w:left w:w="28" w:type="dxa"/>
              <w:bottom w:w="28" w:type="dxa"/>
              <w:right w:w="28" w:type="dxa"/>
            </w:tcMar>
            <w:vAlign w:val="bottom"/>
          </w:tcPr>
          <w:p>
            <w:pPr>
              <w:pStyle w:val="TableContents"/>
              <w:bidi w:val="0"/>
              <w:spacing w:before="0" w:after="0"/>
              <w:jc w:val="left"/>
              <w:rPr>
                <w:color w:val="000000"/>
              </w:rPr>
            </w:pPr>
            <w:r>
              <w:rPr>
                <w:color w:val="000000"/>
              </w:rPr>
              <w:t>Jane Pritchett Henderson</w:t>
            </w:r>
          </w:p>
        </w:tc>
        <w:tc>
          <w:tcPr>
            <w:tcW w:w="196" w:type="dxa"/>
            <w:tcBorders/>
            <w:shd w:fill="CCEEFF" w:val="clear"/>
            <w:tcMar>
              <w:top w:w="28" w:type="dxa"/>
              <w:left w:w="28" w:type="dxa"/>
              <w:bottom w:w="28" w:type="dxa"/>
              <w:right w:w="28" w:type="dxa"/>
            </w:tcMar>
            <w:vAlign w:val="center"/>
          </w:tcPr>
          <w:p>
            <w:pPr>
              <w:pStyle w:val="TableContents"/>
              <w:bidi w:val="0"/>
              <w:spacing w:before="0" w:after="0"/>
              <w:jc w:val="left"/>
              <w:rPr/>
            </w:pPr>
            <w:r>
              <w:rPr/>
              <w:t> </w:t>
            </w:r>
          </w:p>
        </w:tc>
        <w:tc>
          <w:tcPr>
            <w:tcW w:w="196" w:type="dxa"/>
            <w:tcBorders/>
            <w:shd w:fill="CCEEFF" w:val="clear"/>
            <w:tcMar>
              <w:top w:w="28" w:type="dxa"/>
              <w:left w:w="28" w:type="dxa"/>
              <w:bottom w:w="28" w:type="dxa"/>
              <w:right w:w="28" w:type="dxa"/>
            </w:tcMar>
            <w:vAlign w:val="center"/>
          </w:tcPr>
          <w:p>
            <w:pPr>
              <w:pStyle w:val="TableContents"/>
              <w:bidi w:val="0"/>
              <w:spacing w:before="0" w:after="0"/>
              <w:jc w:val="left"/>
              <w:rPr/>
            </w:pPr>
            <w:r>
              <w:rPr/>
              <w:t> </w:t>
            </w:r>
          </w:p>
        </w:tc>
        <w:tc>
          <w:tcPr>
            <w:tcW w:w="1036" w:type="dxa"/>
            <w:tcBorders/>
            <w:shd w:fill="CCEEFF" w:val="clear"/>
            <w:tcMar>
              <w:top w:w="28" w:type="dxa"/>
              <w:left w:w="28" w:type="dxa"/>
              <w:bottom w:w="28" w:type="dxa"/>
              <w:right w:w="28" w:type="dxa"/>
            </w:tcMar>
            <w:vAlign w:val="center"/>
          </w:tcPr>
          <w:p>
            <w:pPr>
              <w:pStyle w:val="TableContents"/>
              <w:bidi w:val="0"/>
              <w:spacing w:before="0" w:after="0"/>
              <w:jc w:val="right"/>
              <w:rPr>
                <w:color w:val="000000"/>
              </w:rPr>
            </w:pPr>
            <w:r>
              <w:rPr>
                <w:color w:val="000000"/>
              </w:rPr>
              <w:t>807,650</w:t>
            </w:r>
          </w:p>
        </w:tc>
        <w:tc>
          <w:tcPr>
            <w:tcW w:w="196" w:type="dxa"/>
            <w:tcBorders/>
            <w:shd w:fill="CCEEFF" w:val="clear"/>
            <w:tcMar>
              <w:top w:w="28" w:type="dxa"/>
              <w:left w:w="28" w:type="dxa"/>
              <w:bottom w:w="28" w:type="dxa"/>
              <w:right w:w="28" w:type="dxa"/>
            </w:tcMar>
            <w:vAlign w:val="center"/>
          </w:tcPr>
          <w:p>
            <w:pPr>
              <w:pStyle w:val="TableContents"/>
              <w:bidi w:val="0"/>
              <w:spacing w:before="0" w:after="0"/>
              <w:jc w:val="right"/>
              <w:rPr/>
            </w:pPr>
            <w:r>
              <w:rPr/>
              <w:t> </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2596" w:type="dxa"/>
            <w:tcBorders/>
            <w:shd w:fill="CCEEFF" w:val="clear"/>
            <w:tcMar>
              <w:top w:w="28" w:type="dxa"/>
              <w:left w:w="28" w:type="dxa"/>
              <w:bottom w:w="28" w:type="dxa"/>
              <w:right w:w="28" w:type="dxa"/>
            </w:tcMar>
            <w:vAlign w:val="bottom"/>
          </w:tcPr>
          <w:p>
            <w:pPr>
              <w:pStyle w:val="TableContents"/>
              <w:bidi w:val="0"/>
              <w:spacing w:before="0" w:after="0"/>
              <w:jc w:val="right"/>
              <w:rPr>
                <w:color w:val="000000"/>
              </w:rPr>
            </w:pPr>
            <w:r>
              <w:rPr>
                <w:strike/>
                <w:color w:val="000000"/>
              </w:rPr>
              <w:t>18,549,042.92</w:t>
            </w:r>
            <w:r>
              <w:rPr>
                <w:color w:val="000000"/>
              </w:rPr>
              <w:t> </w:t>
            </w:r>
            <w:r>
              <w:rPr>
                <w:b/>
                <w:color w:val="000000"/>
                <w:u w:val="single"/>
                <w:bdr w:val="single" w:sz="2" w:space="1" w:color="000000"/>
              </w:rPr>
              <w:t>23,207,501</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1186" w:type="dxa"/>
            <w:tcBorders/>
            <w:shd w:fill="CCEEFF" w:val="clear"/>
            <w:tcMar>
              <w:top w:w="28" w:type="dxa"/>
              <w:left w:w="28" w:type="dxa"/>
              <w:bottom w:w="28" w:type="dxa"/>
              <w:right w:w="28" w:type="dxa"/>
            </w:tcMar>
            <w:vAlign w:val="bottom"/>
          </w:tcPr>
          <w:p>
            <w:pPr>
              <w:pStyle w:val="TableContents"/>
              <w:bidi w:val="0"/>
              <w:spacing w:before="0" w:after="0"/>
              <w:jc w:val="right"/>
              <w:rPr>
                <w:color w:val="000000"/>
              </w:rPr>
            </w:pPr>
            <w:r>
              <w:rPr>
                <w:color w:val="000000"/>
              </w:rPr>
              <w:t>13,000</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1696" w:type="dxa"/>
            <w:tcBorders/>
            <w:shd w:fill="CCEEFF" w:val="clear"/>
            <w:tcMar>
              <w:top w:w="28" w:type="dxa"/>
              <w:left w:w="28" w:type="dxa"/>
              <w:bottom w:w="28" w:type="dxa"/>
              <w:right w:w="28" w:type="dxa"/>
            </w:tcMar>
            <w:vAlign w:val="bottom"/>
          </w:tcPr>
          <w:p>
            <w:pPr>
              <w:pStyle w:val="TableContents"/>
              <w:bidi w:val="0"/>
              <w:spacing w:before="0" w:after="0"/>
              <w:jc w:val="right"/>
              <w:rPr>
                <w:color w:val="000000"/>
              </w:rPr>
            </w:pPr>
            <w:r>
              <w:rPr>
                <w:color w:val="000000"/>
              </w:rPr>
              <w:t>1,286,562</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196" w:type="dxa"/>
            <w:tcBorders/>
            <w:shd w:fill="CCEEFF" w:val="clear"/>
            <w:tcMar>
              <w:top w:w="28" w:type="dxa"/>
              <w:left w:w="28" w:type="dxa"/>
              <w:bottom w:w="28" w:type="dxa"/>
              <w:right w:w="28" w:type="dxa"/>
            </w:tcMar>
            <w:vAlign w:val="bottom"/>
          </w:tcPr>
          <w:p>
            <w:pPr>
              <w:pStyle w:val="TableContents"/>
              <w:bidi w:val="0"/>
              <w:spacing w:before="0" w:after="0"/>
              <w:jc w:val="right"/>
              <w:rPr/>
            </w:pPr>
            <w:r>
              <w:rPr/>
              <w:t> </w:t>
            </w:r>
          </w:p>
        </w:tc>
        <w:tc>
          <w:tcPr>
            <w:tcW w:w="2296" w:type="dxa"/>
            <w:tcBorders/>
            <w:shd w:fill="CCEEFF" w:val="clear"/>
            <w:tcMar>
              <w:top w:w="28" w:type="dxa"/>
              <w:left w:w="28" w:type="dxa"/>
              <w:bottom w:w="28" w:type="dxa"/>
              <w:right w:w="28" w:type="dxa"/>
            </w:tcMar>
            <w:vAlign w:val="bottom"/>
          </w:tcPr>
          <w:p>
            <w:pPr>
              <w:pStyle w:val="TableContents"/>
              <w:bidi w:val="0"/>
              <w:spacing w:before="0" w:after="0"/>
              <w:jc w:val="right"/>
              <w:rPr>
                <w:color w:val="000000"/>
              </w:rPr>
            </w:pPr>
            <w:r>
              <w:rPr>
                <w:strike/>
                <w:color w:val="000000"/>
              </w:rPr>
              <w:t>20,656,255</w:t>
            </w:r>
            <w:r>
              <w:rPr>
                <w:color w:val="000000"/>
              </w:rPr>
              <w:t> </w:t>
            </w:r>
            <w:r>
              <w:rPr>
                <w:b/>
                <w:color w:val="000000"/>
                <w:u w:val="single"/>
                <w:bdr w:val="single" w:sz="2" w:space="1" w:color="000000"/>
              </w:rPr>
              <w:t>25,314,713</w:t>
            </w:r>
          </w:p>
        </w:tc>
      </w:tr>
    </w:tbl>
    <w:p>
      <w:pPr>
        <w:pStyle w:val="TextBody"/>
        <w:bidi w:val="0"/>
        <w:spacing w:before="0" w:after="0"/>
        <w:ind w:left="720" w:right="0" w:hanging="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Merger—Interests of Apogee’s Directors and Executive Officers in the Merger—Golden Parachute Compensation” </w:t>
      </w:r>
      <w:r>
        <w:rPr>
          <w:rFonts w:ascii="Times New Roman" w:hAnsi="Times New Roman"/>
          <w:i/>
          <w:color w:val="000000"/>
          <w:sz w:val="20"/>
        </w:rPr>
        <w:t>is hereby amended by adding the following bolded and double underlined language to the third footnote to the first table on page 62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(3) The amounts in this column represent, for each named executive officer, on a pre-tax basis, </w:t>
      </w:r>
      <w:r>
        <w:rPr>
          <w:rFonts w:ascii="Times New Roman" w:hAnsi="Times New Roman"/>
          <w:b/>
          <w:color w:val="000000"/>
          <w:sz w:val="20"/>
          <w:u w:val="single"/>
          <w:bdr w:val="single" w:sz="2" w:space="1" w:color="000000"/>
        </w:rPr>
        <w:t>(i) the value of unvested shares of Company Restricted Stock held by such named executive officer as of June 25, 2026, which will be paid out upon the Merger, assuming the Closing occurred on June 25, 2026, and (ii)</w:t>
      </w:r>
      <w:r>
        <w:rPr>
          <w:rFonts w:ascii="Times New Roman" w:hAnsi="Times New Roman"/>
          <w:color w:val="000000"/>
          <w:sz w:val="20"/>
        </w:rPr>
        <w:t xml:space="preserve"> the spread value of unvested In the Money Options held by such named executive officer as of June 25, 2026, which will be paid out upon the Merger, assuming the Closing occurred on June 25, 2026. For each unvested In the Money Option, the cash spread value is calculated by multiplying (a) the amount by which the Merger Consideration exceeds the per share exercise price of such In the Money Option by (b) the number of shares of our common stock subject to such unvested In the Money Option. Such payments are made as a result of the Closing (on a “single-trigger” basis). For additional information on the treatment of outstanding equity awards held by each named executive officer in the Merger, see the section of this proxy statement captioned “</w:t>
      </w:r>
      <w:r>
        <w:rPr>
          <w:rFonts w:ascii="Times New Roman" w:hAnsi="Times New Roman"/>
          <w:i/>
          <w:color w:val="000000"/>
          <w:sz w:val="20"/>
        </w:rPr>
        <w:t>The Merger—Interests of Apogee’s Directors and Executive Officers in the Merger—Treatment of Equity-Based Awards</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The number of unvested Company Options </w:t>
      </w:r>
      <w:r>
        <w:rPr>
          <w:rFonts w:ascii="Times New Roman" w:hAnsi="Times New Roman"/>
          <w:b/>
          <w:color w:val="000000"/>
          <w:sz w:val="20"/>
          <w:u w:val="single"/>
          <w:bdr w:val="single" w:sz="2" w:space="1" w:color="000000"/>
        </w:rPr>
        <w:t>and unvested shares of Company Restricted Stock</w:t>
      </w:r>
      <w:r>
        <w:rPr>
          <w:rFonts w:ascii="Times New Roman" w:hAnsi="Times New Roman"/>
          <w:color w:val="000000"/>
          <w:sz w:val="20"/>
        </w:rPr>
        <w:t xml:space="preserve"> held by each named executive officer as of June 25, 2026, and their estimated values are as follows:</w:t>
      </w:r>
    </w:p>
    <w:p>
      <w:pPr>
        <w:pStyle w:val="TextBody"/>
        <w:bidi w:val="0"/>
        <w:spacing w:before="0" w:after="0"/>
        <w:jc w:val="left"/>
        <w:rPr>
          <w:color w:val="000000"/>
        </w:rPr>
      </w:pPr>
      <w:r>
        <w:rPr>
          <w:color w:val="000000"/>
        </w:rPr>
        <w:t> </w:t>
      </w:r>
    </w:p>
    <w:p>
      <w:pPr>
        <w:pStyle w:val="Normal"/>
        <w:bidi w:val="0"/>
        <w:spacing w:before="0" w:after="0"/>
        <w:ind w:left="720" w:right="0" w:hanging="0"/>
        <w:jc w:val="left"/>
        <w:rPr>
          <w:sz w:val="4"/>
          <w:szCs w:val="4"/>
        </w:rPr>
      </w:pPr>
      <w:r>
        <w:rPr>
          <w:sz w:val="4"/>
          <w:szCs w:val="4"/>
        </w:rPr>
      </w:r>
      <w:bookmarkStart w:id="32" w:name="zb649c451ba514d23822ecf7073b3d6dc"/>
      <w:bookmarkStart w:id="33" w:name="zb649c451ba514d23822ecf7073b3d6dc"/>
      <w:bookmarkEnd w:id="33"/>
    </w:p>
    <w:tbl>
      <w:tblPr>
        <w:tblW w:w="9485" w:type="dxa"/>
        <w:jc w:val="left"/>
        <w:tblInd w:w="720" w:type="dxa"/>
        <w:tblLayout w:type="fixed"/>
        <w:tblCellMar>
          <w:top w:w="0" w:type="dxa"/>
          <w:left w:w="0" w:type="dxa"/>
          <w:bottom w:w="28" w:type="dxa"/>
          <w:right w:w="0" w:type="dxa"/>
        </w:tblCellMar>
      </w:tblPr>
      <w:tblGrid>
        <w:gridCol w:w="1541"/>
        <w:gridCol w:w="116"/>
        <w:gridCol w:w="1573"/>
        <w:gridCol w:w="116"/>
        <w:gridCol w:w="2152"/>
        <w:gridCol w:w="116"/>
        <w:gridCol w:w="1824"/>
        <w:gridCol w:w="116"/>
        <w:gridCol w:w="1931"/>
      </w:tblGrid>
      <w:tr>
        <w:trPr/>
        <w:tc>
          <w:tcPr>
            <w:tcW w:w="1541" w:type="dxa"/>
            <w:tcBorders>
              <w:bottom w:val="single" w:sz="12" w:space="0" w:color="000000"/>
            </w:tcBorders>
            <w:vAlign w:val="center"/>
          </w:tcPr>
          <w:p>
            <w:pPr>
              <w:pStyle w:val="TableContents"/>
              <w:bidi w:val="0"/>
              <w:spacing w:before="0" w:after="0"/>
              <w:jc w:val="left"/>
              <w:rPr>
                <w:b/>
              </w:rPr>
            </w:pPr>
            <w:r>
              <w:rPr>
                <w:b/>
              </w:rPr>
              <w:t>Name</w:t>
            </w:r>
          </w:p>
        </w:tc>
        <w:tc>
          <w:tcPr>
            <w:tcW w:w="116" w:type="dxa"/>
            <w:tcBorders/>
            <w:tcMar>
              <w:bottom w:w="0" w:type="dxa"/>
            </w:tcMar>
            <w:vAlign w:val="center"/>
          </w:tcPr>
          <w:p>
            <w:pPr>
              <w:pStyle w:val="TableContents"/>
              <w:bidi w:val="0"/>
              <w:spacing w:before="0" w:after="283"/>
              <w:jc w:val="left"/>
              <w:rPr/>
            </w:pPr>
            <w:r>
              <w:rPr/>
              <w:t> </w:t>
            </w:r>
          </w:p>
        </w:tc>
        <w:tc>
          <w:tcPr>
            <w:tcW w:w="1573" w:type="dxa"/>
            <w:tcBorders>
              <w:bottom w:val="single" w:sz="12" w:space="0" w:color="000000"/>
            </w:tcBorders>
            <w:vAlign w:val="center"/>
          </w:tcPr>
          <w:p>
            <w:pPr>
              <w:pStyle w:val="TableContents"/>
              <w:bidi w:val="0"/>
              <w:spacing w:before="0" w:after="0"/>
              <w:jc w:val="center"/>
              <w:rPr>
                <w:b/>
              </w:rPr>
            </w:pPr>
            <w:r>
              <w:rPr>
                <w:b/>
              </w:rPr>
              <w:t>Unvested In the Money Options Vesting Upon Closing (#)</w:t>
            </w:r>
          </w:p>
        </w:tc>
        <w:tc>
          <w:tcPr>
            <w:tcW w:w="116" w:type="dxa"/>
            <w:tcBorders/>
            <w:tcMar>
              <w:bottom w:w="0" w:type="dxa"/>
            </w:tcMar>
            <w:vAlign w:val="center"/>
          </w:tcPr>
          <w:p>
            <w:pPr>
              <w:pStyle w:val="TableContents"/>
              <w:bidi w:val="0"/>
              <w:spacing w:before="0" w:after="283"/>
              <w:jc w:val="left"/>
              <w:rPr/>
            </w:pPr>
            <w:r>
              <w:rPr/>
              <w:t> </w:t>
            </w:r>
          </w:p>
        </w:tc>
        <w:tc>
          <w:tcPr>
            <w:tcW w:w="2152" w:type="dxa"/>
            <w:tcBorders>
              <w:bottom w:val="single" w:sz="12" w:space="0" w:color="000000"/>
            </w:tcBorders>
            <w:vAlign w:val="center"/>
          </w:tcPr>
          <w:p>
            <w:pPr>
              <w:pStyle w:val="TableContents"/>
              <w:bidi w:val="0"/>
              <w:spacing w:before="0" w:after="0"/>
              <w:jc w:val="center"/>
              <w:rPr>
                <w:b/>
              </w:rPr>
            </w:pPr>
            <w:r>
              <w:rPr>
                <w:b/>
              </w:rPr>
              <w:t>Spread Value of Unvested In the Money Options Vesting Upon Closing ($)</w:t>
            </w:r>
          </w:p>
        </w:tc>
        <w:tc>
          <w:tcPr>
            <w:tcW w:w="116" w:type="dxa"/>
            <w:tcBorders/>
            <w:tcMar>
              <w:bottom w:w="0" w:type="dxa"/>
            </w:tcMar>
            <w:vAlign w:val="center"/>
          </w:tcPr>
          <w:p>
            <w:pPr>
              <w:pStyle w:val="TableContents"/>
              <w:bidi w:val="0"/>
              <w:spacing w:before="0" w:after="283"/>
              <w:jc w:val="left"/>
              <w:rPr/>
            </w:pPr>
            <w:r>
              <w:rPr/>
              <w:t> </w:t>
            </w:r>
          </w:p>
        </w:tc>
        <w:tc>
          <w:tcPr>
            <w:tcW w:w="1824" w:type="dxa"/>
            <w:tcBorders>
              <w:bottom w:val="single" w:sz="12" w:space="0" w:color="000000"/>
            </w:tcBorders>
            <w:vAlign w:val="center"/>
          </w:tcPr>
          <w:p>
            <w:pPr>
              <w:pStyle w:val="TableContents"/>
              <w:bidi w:val="0"/>
              <w:spacing w:before="0" w:after="0"/>
              <w:jc w:val="center"/>
              <w:rPr>
                <w:b/>
                <w:u w:val="single"/>
                <w:bdr w:val="single" w:sz="2" w:space="1" w:color="000000"/>
              </w:rPr>
            </w:pPr>
            <w:r>
              <w:rPr>
                <w:b/>
                <w:u w:val="single"/>
                <w:bdr w:val="single" w:sz="2" w:space="1" w:color="000000"/>
              </w:rPr>
              <w:t>Unvested Shares of Company Restricted Stock Vesting Upon Closing (#)</w:t>
            </w:r>
          </w:p>
        </w:tc>
        <w:tc>
          <w:tcPr>
            <w:tcW w:w="116" w:type="dxa"/>
            <w:tcBorders/>
            <w:tcMar>
              <w:bottom w:w="0" w:type="dxa"/>
            </w:tcMar>
            <w:vAlign w:val="center"/>
          </w:tcPr>
          <w:p>
            <w:pPr>
              <w:pStyle w:val="TableContents"/>
              <w:bidi w:val="0"/>
              <w:spacing w:before="0" w:after="283"/>
              <w:jc w:val="left"/>
              <w:rPr/>
            </w:pPr>
            <w:r>
              <w:rPr/>
              <w:t> </w:t>
            </w:r>
          </w:p>
        </w:tc>
        <w:tc>
          <w:tcPr>
            <w:tcW w:w="1931" w:type="dxa"/>
            <w:tcBorders>
              <w:bottom w:val="single" w:sz="12" w:space="0" w:color="000000"/>
            </w:tcBorders>
            <w:vAlign w:val="center"/>
          </w:tcPr>
          <w:p>
            <w:pPr>
              <w:pStyle w:val="TableContents"/>
              <w:bidi w:val="0"/>
              <w:spacing w:before="0" w:after="0"/>
              <w:jc w:val="center"/>
              <w:rPr>
                <w:b/>
                <w:u w:val="single"/>
                <w:bdr w:val="single" w:sz="2" w:space="1" w:color="000000"/>
              </w:rPr>
            </w:pPr>
            <w:r>
              <w:rPr>
                <w:b/>
                <w:u w:val="single"/>
                <w:bdr w:val="single" w:sz="2" w:space="1" w:color="000000"/>
              </w:rPr>
              <w:t>Value of Unvested Shares of Company Restricted Stock Vesting Upon Closing ($)</w:t>
            </w:r>
          </w:p>
        </w:tc>
      </w:tr>
      <w:tr>
        <w:trPr/>
        <w:tc>
          <w:tcPr>
            <w:tcW w:w="1541" w:type="dxa"/>
            <w:tcBorders/>
            <w:shd w:fill="CCEEFF" w:val="clear"/>
            <w:tcMar>
              <w:top w:w="28" w:type="dxa"/>
              <w:left w:w="28" w:type="dxa"/>
              <w:right w:w="28" w:type="dxa"/>
            </w:tcMar>
            <w:vAlign w:val="center"/>
          </w:tcPr>
          <w:p>
            <w:pPr>
              <w:pStyle w:val="TableContents"/>
              <w:bidi w:val="0"/>
              <w:spacing w:before="0" w:after="0"/>
              <w:jc w:val="left"/>
              <w:rPr/>
            </w:pPr>
            <w:r>
              <w:rPr/>
              <w:t>Michael Henderson, M.D.</w:t>
            </w:r>
          </w:p>
        </w:tc>
        <w:tc>
          <w:tcPr>
            <w:tcW w:w="11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1573" w:type="dxa"/>
            <w:tcBorders/>
            <w:shd w:fill="CCEEFF" w:val="clear"/>
            <w:tcMar>
              <w:top w:w="28" w:type="dxa"/>
              <w:left w:w="28" w:type="dxa"/>
              <w:right w:w="28" w:type="dxa"/>
            </w:tcMar>
            <w:vAlign w:val="center"/>
          </w:tcPr>
          <w:p>
            <w:pPr>
              <w:pStyle w:val="TableContents"/>
              <w:bidi w:val="0"/>
              <w:spacing w:before="0" w:after="0"/>
              <w:jc w:val="center"/>
              <w:rPr>
                <w:color w:val="000000"/>
              </w:rPr>
            </w:pPr>
            <w:r>
              <w:rPr>
                <w:color w:val="000000"/>
              </w:rPr>
              <w:t>599,251</w:t>
            </w:r>
          </w:p>
        </w:tc>
        <w:tc>
          <w:tcPr>
            <w:tcW w:w="11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2152" w:type="dxa"/>
            <w:tcBorders/>
            <w:shd w:fill="CCEEFF" w:val="clear"/>
            <w:tcMar>
              <w:top w:w="28" w:type="dxa"/>
              <w:left w:w="28" w:type="dxa"/>
              <w:right w:w="28" w:type="dxa"/>
            </w:tcMar>
            <w:vAlign w:val="center"/>
          </w:tcPr>
          <w:p>
            <w:pPr>
              <w:pStyle w:val="TableContents"/>
              <w:bidi w:val="0"/>
              <w:spacing w:before="0" w:after="0"/>
              <w:jc w:val="center"/>
              <w:rPr/>
            </w:pPr>
            <w:r>
              <w:rPr/>
              <w:t>49,422,315.55</w:t>
            </w:r>
          </w:p>
        </w:tc>
        <w:tc>
          <w:tcPr>
            <w:tcW w:w="11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1824" w:type="dxa"/>
            <w:tcBorders/>
            <w:shd w:fill="CCEEFF" w:val="clear"/>
            <w:tcMar>
              <w:top w:w="28" w:type="dxa"/>
              <w:left w:w="28" w:type="dxa"/>
              <w:right w:w="28" w:type="dxa"/>
            </w:tcMar>
            <w:vAlign w:val="center"/>
          </w:tcPr>
          <w:p>
            <w:pPr>
              <w:pStyle w:val="TableContents"/>
              <w:bidi w:val="0"/>
              <w:spacing w:before="0" w:after="0"/>
              <w:jc w:val="center"/>
              <w:rPr>
                <w:b/>
                <w:u w:val="single"/>
                <w:bdr w:val="single" w:sz="2" w:space="1" w:color="000000"/>
              </w:rPr>
            </w:pPr>
            <w:r>
              <w:rPr>
                <w:b/>
                <w:u w:val="single"/>
                <w:bdr w:val="single" w:sz="2" w:space="1" w:color="000000"/>
              </w:rPr>
              <w:t>35,923</w:t>
            </w:r>
          </w:p>
        </w:tc>
        <w:tc>
          <w:tcPr>
            <w:tcW w:w="11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1931" w:type="dxa"/>
            <w:tcBorders/>
            <w:shd w:fill="CCEEFF" w:val="clear"/>
            <w:tcMar>
              <w:top w:w="28" w:type="dxa"/>
              <w:left w:w="28" w:type="dxa"/>
              <w:right w:w="28" w:type="dxa"/>
            </w:tcMar>
            <w:vAlign w:val="center"/>
          </w:tcPr>
          <w:p>
            <w:pPr>
              <w:pStyle w:val="TableContents"/>
              <w:bidi w:val="0"/>
              <w:spacing w:before="0" w:after="0"/>
              <w:jc w:val="center"/>
              <w:rPr>
                <w:b/>
                <w:u w:val="single"/>
                <w:bdr w:val="single" w:sz="2" w:space="1" w:color="000000"/>
              </w:rPr>
            </w:pPr>
            <w:r>
              <w:rPr>
                <w:b/>
                <w:u w:val="single"/>
                <w:bdr w:val="single" w:sz="2" w:space="1" w:color="000000"/>
              </w:rPr>
              <w:t>4,853,557</w:t>
            </w:r>
          </w:p>
        </w:tc>
      </w:tr>
      <w:tr>
        <w:trPr/>
        <w:tc>
          <w:tcPr>
            <w:tcW w:w="1541" w:type="dxa"/>
            <w:tcBorders/>
            <w:tcMar>
              <w:top w:w="28" w:type="dxa"/>
              <w:left w:w="28" w:type="dxa"/>
              <w:right w:w="28" w:type="dxa"/>
            </w:tcMar>
            <w:vAlign w:val="center"/>
          </w:tcPr>
          <w:p>
            <w:pPr>
              <w:pStyle w:val="TableContents"/>
              <w:bidi w:val="0"/>
              <w:spacing w:before="0" w:after="0"/>
              <w:jc w:val="left"/>
              <w:rPr/>
            </w:pPr>
            <w:r>
              <w:rPr/>
              <w:t>Carl Dambkowski, M.D.</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573" w:type="dxa"/>
            <w:tcBorders/>
            <w:tcMar>
              <w:top w:w="28" w:type="dxa"/>
              <w:left w:w="28" w:type="dxa"/>
              <w:right w:w="28" w:type="dxa"/>
            </w:tcMar>
            <w:vAlign w:val="center"/>
          </w:tcPr>
          <w:p>
            <w:pPr>
              <w:pStyle w:val="TableContents"/>
              <w:bidi w:val="0"/>
              <w:spacing w:before="0" w:after="0"/>
              <w:jc w:val="center"/>
              <w:rPr/>
            </w:pPr>
            <w:r>
              <w:rPr/>
              <w:t>218,830</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2152" w:type="dxa"/>
            <w:tcBorders/>
            <w:tcMar>
              <w:top w:w="28" w:type="dxa"/>
              <w:left w:w="28" w:type="dxa"/>
              <w:right w:w="28" w:type="dxa"/>
            </w:tcMar>
            <w:vAlign w:val="center"/>
          </w:tcPr>
          <w:p>
            <w:pPr>
              <w:pStyle w:val="TableContents"/>
              <w:bidi w:val="0"/>
              <w:spacing w:before="0" w:after="0"/>
              <w:jc w:val="center"/>
              <w:rPr>
                <w:color w:val="000000"/>
              </w:rPr>
            </w:pPr>
            <w:r>
              <w:rPr>
                <w:color w:val="000000"/>
              </w:rPr>
              <w:t>18,549,042.92</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24" w:type="dxa"/>
            <w:tcBorders/>
            <w:tcMar>
              <w:top w:w="28" w:type="dxa"/>
              <w:left w:w="28" w:type="dxa"/>
              <w:right w:w="28" w:type="dxa"/>
            </w:tcMar>
            <w:vAlign w:val="center"/>
          </w:tcPr>
          <w:p>
            <w:pPr>
              <w:pStyle w:val="TableContents"/>
              <w:bidi w:val="0"/>
              <w:spacing w:before="0" w:after="0"/>
              <w:jc w:val="center"/>
              <w:rPr>
                <w:b/>
                <w:color w:val="000000"/>
                <w:u w:val="single"/>
                <w:bdr w:val="single" w:sz="2" w:space="1" w:color="000000"/>
              </w:rPr>
            </w:pPr>
            <w:r>
              <w:rPr>
                <w:b/>
                <w:color w:val="000000"/>
                <w:u w:val="single"/>
                <w:bdr w:val="single" w:sz="2" w:space="1" w:color="000000"/>
              </w:rPr>
              <w:t>29,350</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931" w:type="dxa"/>
            <w:tcBorders/>
            <w:tcMar>
              <w:top w:w="28" w:type="dxa"/>
              <w:left w:w="28" w:type="dxa"/>
              <w:right w:w="28" w:type="dxa"/>
            </w:tcMar>
            <w:vAlign w:val="center"/>
          </w:tcPr>
          <w:p>
            <w:pPr>
              <w:pStyle w:val="TableContents"/>
              <w:bidi w:val="0"/>
              <w:spacing w:before="0" w:after="0"/>
              <w:jc w:val="center"/>
              <w:rPr>
                <w:b/>
                <w:color w:val="000000"/>
                <w:u w:val="single"/>
                <w:bdr w:val="single" w:sz="2" w:space="1" w:color="000000"/>
              </w:rPr>
            </w:pPr>
            <w:r>
              <w:rPr>
                <w:b/>
                <w:color w:val="000000"/>
                <w:u w:val="single"/>
                <w:bdr w:val="single" w:sz="2" w:space="1" w:color="000000"/>
              </w:rPr>
              <w:t>3,965,479</w:t>
            </w:r>
          </w:p>
        </w:tc>
      </w:tr>
      <w:tr>
        <w:trPr/>
        <w:tc>
          <w:tcPr>
            <w:tcW w:w="1541" w:type="dxa"/>
            <w:tcBorders/>
            <w:shd w:fill="CCEEFF" w:val="clear"/>
            <w:tcMar>
              <w:top w:w="28" w:type="dxa"/>
              <w:left w:w="28" w:type="dxa"/>
              <w:right w:w="28" w:type="dxa"/>
            </w:tcMar>
            <w:vAlign w:val="center"/>
          </w:tcPr>
          <w:p>
            <w:pPr>
              <w:pStyle w:val="TableContents"/>
              <w:bidi w:val="0"/>
              <w:spacing w:before="0" w:after="0"/>
              <w:jc w:val="left"/>
              <w:rPr/>
            </w:pPr>
            <w:r>
              <w:rPr/>
              <w:t>Jane Pritchett Henderson</w:t>
            </w:r>
          </w:p>
        </w:tc>
        <w:tc>
          <w:tcPr>
            <w:tcW w:w="11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1573" w:type="dxa"/>
            <w:tcBorders/>
            <w:shd w:fill="CCEEFF" w:val="clear"/>
            <w:tcMar>
              <w:top w:w="28" w:type="dxa"/>
              <w:left w:w="28" w:type="dxa"/>
              <w:right w:w="28" w:type="dxa"/>
            </w:tcMar>
            <w:vAlign w:val="center"/>
          </w:tcPr>
          <w:p>
            <w:pPr>
              <w:pStyle w:val="TableContents"/>
              <w:bidi w:val="0"/>
              <w:spacing w:before="0" w:after="0"/>
              <w:jc w:val="center"/>
              <w:rPr/>
            </w:pPr>
            <w:r>
              <w:rPr/>
              <w:t>218,830</w:t>
            </w:r>
          </w:p>
        </w:tc>
        <w:tc>
          <w:tcPr>
            <w:tcW w:w="11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2152" w:type="dxa"/>
            <w:tcBorders/>
            <w:shd w:fill="CCEEFF" w:val="clear"/>
            <w:tcMar>
              <w:top w:w="28" w:type="dxa"/>
              <w:left w:w="28" w:type="dxa"/>
              <w:right w:w="28" w:type="dxa"/>
            </w:tcMar>
            <w:vAlign w:val="center"/>
          </w:tcPr>
          <w:p>
            <w:pPr>
              <w:pStyle w:val="TableContents"/>
              <w:bidi w:val="0"/>
              <w:spacing w:before="0" w:after="0"/>
              <w:jc w:val="center"/>
              <w:rPr/>
            </w:pPr>
            <w:r>
              <w:rPr/>
              <w:t>18,549,042.92</w:t>
            </w:r>
          </w:p>
        </w:tc>
        <w:tc>
          <w:tcPr>
            <w:tcW w:w="11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1824" w:type="dxa"/>
            <w:tcBorders/>
            <w:shd w:fill="CCEEFF" w:val="clear"/>
            <w:tcMar>
              <w:top w:w="28" w:type="dxa"/>
              <w:left w:w="28" w:type="dxa"/>
              <w:right w:w="28" w:type="dxa"/>
            </w:tcMar>
            <w:vAlign w:val="center"/>
          </w:tcPr>
          <w:p>
            <w:pPr>
              <w:pStyle w:val="TableContents"/>
              <w:bidi w:val="0"/>
              <w:spacing w:before="0" w:after="0"/>
              <w:jc w:val="center"/>
              <w:rPr>
                <w:b/>
                <w:color w:val="000000"/>
                <w:u w:val="single"/>
                <w:bdr w:val="single" w:sz="2" w:space="1" w:color="000000"/>
              </w:rPr>
            </w:pPr>
            <w:r>
              <w:rPr>
                <w:b/>
                <w:color w:val="000000"/>
                <w:u w:val="single"/>
                <w:bdr w:val="single" w:sz="2" w:space="1" w:color="000000"/>
              </w:rPr>
              <w:t>34,479</w:t>
            </w:r>
          </w:p>
        </w:tc>
        <w:tc>
          <w:tcPr>
            <w:tcW w:w="11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1931" w:type="dxa"/>
            <w:tcBorders/>
            <w:shd w:fill="CCEEFF" w:val="clear"/>
            <w:tcMar>
              <w:top w:w="28" w:type="dxa"/>
              <w:left w:w="28" w:type="dxa"/>
              <w:right w:w="28" w:type="dxa"/>
            </w:tcMar>
            <w:vAlign w:val="center"/>
          </w:tcPr>
          <w:p>
            <w:pPr>
              <w:pStyle w:val="TableContents"/>
              <w:bidi w:val="0"/>
              <w:spacing w:before="0" w:after="0"/>
              <w:jc w:val="center"/>
              <w:rPr>
                <w:b/>
                <w:color w:val="000000"/>
                <w:u w:val="single"/>
                <w:bdr w:val="single" w:sz="2" w:space="1" w:color="000000"/>
              </w:rPr>
            </w:pPr>
            <w:r>
              <w:rPr>
                <w:b/>
                <w:color w:val="000000"/>
                <w:u w:val="single"/>
                <w:bdr w:val="single" w:sz="2" w:space="1" w:color="000000"/>
              </w:rPr>
              <w:t>4,658,458</w:t>
            </w:r>
          </w:p>
        </w:tc>
      </w:tr>
    </w:tbl>
    <w:p>
      <w:pPr>
        <w:pStyle w:val="TextBody"/>
        <w:bidi w:val="0"/>
        <w:spacing w:before="0" w:after="0"/>
        <w:ind w:left="72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Litigation Related to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Merger—Litigation Related to the Merger” </w:t>
      </w:r>
      <w:r>
        <w:rPr>
          <w:rFonts w:ascii="Times New Roman" w:hAnsi="Times New Roman"/>
          <w:i/>
          <w:color w:val="000000"/>
          <w:sz w:val="20"/>
        </w:rPr>
        <w:t>is hereby amended by deleting the following strikethrough language from and adding the following bolded and double underlined language to the third paragraph on page 64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Securities class action lawsuits and derivative lawsuits are often brought against public companies that have entered into acquisition, merger or other business combination agreements like the Merger Agreement. </w:t>
      </w:r>
      <w:r>
        <w:rPr>
          <w:rFonts w:ascii="Times New Roman" w:hAnsi="Times New Roman"/>
          <w:strike/>
          <w:color w:val="000000"/>
          <w:sz w:val="20"/>
        </w:rPr>
        <w:t>Although Apogee is not aware of any pending lawsuits relating to the Merger as of the date of this proxy statement, potential plaintiffs may file lawsuits or send demand letters in connection with the Merger.</w:t>
      </w:r>
      <w:r>
        <w:rPr>
          <w:rFonts w:ascii="Times New Roman" w:hAnsi="Times New Roman"/>
          <w:color w:val="000000"/>
          <w:sz w:val="20"/>
        </w:rPr>
        <w:t> </w:t>
      </w:r>
      <w:r>
        <w:rPr>
          <w:rFonts w:ascii="Times New Roman" w:hAnsi="Times New Roman"/>
          <w:b/>
          <w:color w:val="000000"/>
          <w:sz w:val="20"/>
          <w:u w:val="single"/>
          <w:bdr w:val="single" w:sz="2" w:space="1" w:color="000000"/>
        </w:rPr>
        <w:t>A summary of the litigation matters relating to the Merger as of August 3, 2026, is included below.</w:t>
      </w:r>
      <w:r>
        <w:rPr>
          <w:rFonts w:ascii="Times New Roman" w:hAnsi="Times New Roman"/>
          <w:color w:val="000000"/>
          <w:sz w:val="20"/>
        </w:rPr>
        <w:t xml:space="preserve"> The outcome of this and any other future litigation is uncertain. Such litigation, if not resolved, could prevent or delay consummation of the Merger and result in substantial costs to Apogee including any costs associated with the indemnification of directors and officers. One of the conditions to the consummation of the Merger is that no legal restraints preventing or prohibiting the consummation of the Merger will be in effect at the time of Closing. Therefore, if a plaintiff were successful in obtaining an injunction prohibiting the consummation of the Merger on the agreed-upon terms, then such injunction may prevent the Merger from being consummated, or from being consummated within the expected time frame.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5fd342d12e3f4e4ca61c5fcdaffbfd51"/>
      <w:bookmarkStart w:id="35" w:name="z5fd342d12e3f4e4ca61c5fcdaffbfd51"/>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b/>
                <w:u w:val="single"/>
                <w:bdr w:val="single" w:sz="2" w:space="1" w:color="000000"/>
              </w:rPr>
            </w:pPr>
            <w:r>
              <w:rPr>
                <w:b/>
                <w:u w:val="single"/>
                <w:bdr w:val="single" w:sz="2" w:space="1" w:color="000000"/>
              </w:rPr>
              <w:t>In connection with the Definitive Proxy Statement, as of August 3, 2026, one complaint has been filed in state court by a purported stockholder of Apogee.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5bdcae5f22f34e3e8d955dd81b063727"/>
      <w:bookmarkStart w:id="37" w:name="z5bdcae5f22f34e3e8d955dd81b063727"/>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b/>
                <w:u w:val="single"/>
                <w:bdr w:val="single" w:sz="2" w:space="1" w:color="000000"/>
              </w:rPr>
              <w:t xml:space="preserve">On July 23, 2026, a purported stockholder of Apogee filed a complaint against Apogee, our board of directors, Goldman Sachs, Jefferies, AbbVie, Parent and Merger Sub in the Supreme Court of the State of New York, County of Rensselaer, captioned </w:t>
            </w:r>
            <w:r>
              <w:rPr>
                <w:b/>
                <w:i/>
                <w:u w:val="single"/>
                <w:bdr w:val="single" w:sz="2" w:space="1" w:color="000000"/>
              </w:rPr>
              <w:t>Timothy Smith v. Apogee Therapeutics, Inc. et al.</w:t>
            </w:r>
            <w:r>
              <w:rPr>
                <w:b/>
                <w:u w:val="single"/>
                <w:bdr w:val="single" w:sz="2" w:space="1" w:color="000000"/>
              </w:rPr>
              <w:t>, Index No. EF2026-283678 (which we refer to as the “Smith Complaint”).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8494d1846de24fb496af078c9244154a"/>
      <w:bookmarkStart w:id="39" w:name="z8494d1846de24fb496af078c9244154a"/>
      <w:bookmarkEnd w:id="3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b/>
                <w:u w:val="single"/>
                <w:bdr w:val="single" w:sz="2" w:space="1" w:color="000000"/>
              </w:rPr>
            </w:pPr>
            <w:r>
              <w:rPr>
                <w:b/>
                <w:u w:val="single"/>
                <w:bdr w:val="single" w:sz="2" w:space="1" w:color="000000"/>
              </w:rPr>
              <w:t>The Smith Complaint alleges, among other things, that the Definitive Proxy Statement omits material information and contains misleading disclosures and, as a result, the defendants violated New York and California common law and the California Corporations Code. The Smith Complaint seeks, among other things, an injunction of the Transactions until the defendants make additional disclosures or the matter goes to trial. Apogee has also received certain demand letters from purported stockholders making allegations similar to those contained in the Smith Complaint.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4d50c83bc19e406385fdae2cbee61f17"/>
      <w:bookmarkStart w:id="41" w:name="z4d50c83bc19e406385fdae2cbee61f17"/>
      <w:bookmarkEnd w:id="4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b/>
                <w:u w:val="single"/>
                <w:bdr w:val="single" w:sz="2" w:space="1" w:color="000000"/>
              </w:rPr>
            </w:pPr>
            <w:r>
              <w:rPr>
                <w:b/>
                <w:u w:val="single"/>
                <w:bdr w:val="single" w:sz="2" w:space="1" w:color="000000"/>
              </w:rPr>
              <w:t>Apogee, AbbVie, Parent, and Merger Sub believe the claims asserted in the Smith Complaint and demand letters are without merit.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4c41fbfd6a234edf965256cde0c00ff7"/>
      <w:bookmarkStart w:id="43" w:name="z4c41fbfd6a234edf965256cde0c00ff7"/>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b/>
                <w:u w:val="single"/>
                <w:bdr w:val="single" w:sz="2" w:space="1" w:color="000000"/>
              </w:rPr>
            </w:pPr>
            <w:r>
              <w:rPr>
                <w:b/>
                <w:u w:val="single"/>
                <w:bdr w:val="single" w:sz="2" w:space="1" w:color="000000"/>
              </w:rPr>
              <w:t>The outcome of the matters described above cannot be predicted with certainty. Additional demand letters may be received, and additional lawsuits may be filed against Apogee, our board of directors, AbbVie, Parent and/or Merger Sub in connection with the transactions contemplated by the Merger Agreement and the Definitive Proxy Statement. If additional similar demand letters are received or complaints are filed, absent new or different allegations that are material, Apogee will not necessarily announce such additional demands or filings.</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Required Regulatory Approvals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Required Clearances, Consents or Approvals, or Other Waiting Periods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Merger—Required Regulatory Approvals—Required Clearances, Consents or Approvals, or Other Waiting Periods” </w:t>
      </w:r>
      <w:r>
        <w:rPr>
          <w:rFonts w:ascii="Times New Roman" w:hAnsi="Times New Roman"/>
          <w:i/>
          <w:color w:val="000000"/>
          <w:sz w:val="20"/>
        </w:rPr>
        <w:t>is hereby amended by adding the following language as a new paragraph after the second paragraph on page 69 of the Definitive Proxy Statement: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On July 27, 2026, Parent obtained from the FCO unconditional clearance for the Merger in Germany. Accordingly, the closing condition relating to the receipt of Regulatory Approvals with respect to the German Act against Restraints of Competition 1957, as amended, has been satisfied. On July 27, 2026, Parent also filed a notification under the Australian Competition and Consumer Act 2010, as amended, with the Australian Competition and Consumer Commission (the “ACCC”), for which the Phase 1 statutory review period will expire on September 7, 2026, unless such period is terminated earlier by the ACCC.</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Market Prices and Dividend Data</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Market Prices and Dividend Data” </w:t>
      </w:r>
      <w:r>
        <w:rPr>
          <w:rFonts w:ascii="Times New Roman" w:hAnsi="Times New Roman"/>
          <w:i/>
          <w:color w:val="000000"/>
          <w:sz w:val="20"/>
        </w:rPr>
        <w:t>is hereby amended by deleting the following strikethrough language from and adding the following bolded and double underlined language to the first paragraph on page 93 of the Definitive Proxy Statement:</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Our common stock is listed on the Nasdaq Global Market under the symbol “APGE.” As of the Record Date, there were </w:t>
      </w:r>
      <w:r>
        <w:rPr>
          <w:rFonts w:ascii="Times New Roman" w:hAnsi="Times New Roman"/>
          <w:strike/>
          <w:color w:val="000000"/>
          <w:sz w:val="20"/>
        </w:rPr>
        <w:t>61,877,575</w:t>
      </w:r>
      <w:r>
        <w:rPr>
          <w:rFonts w:ascii="Times New Roman" w:hAnsi="Times New Roman"/>
          <w:color w:val="000000"/>
          <w:sz w:val="20"/>
        </w:rPr>
        <w:t> </w:t>
      </w:r>
      <w:r>
        <w:rPr>
          <w:rFonts w:ascii="Times New Roman" w:hAnsi="Times New Roman"/>
          <w:b/>
          <w:color w:val="000000"/>
          <w:sz w:val="20"/>
          <w:u w:val="single"/>
          <w:bdr w:val="single" w:sz="2" w:space="1" w:color="000000"/>
        </w:rPr>
        <w:t>62,140,183</w:t>
      </w:r>
      <w:r>
        <w:rPr>
          <w:rFonts w:ascii="Times New Roman" w:hAnsi="Times New Roman"/>
          <w:color w:val="000000"/>
          <w:sz w:val="20"/>
        </w:rPr>
        <w:t xml:space="preserve"> shares of our voting common stock outstanding, held by approximately 6 stockholders of record and 13,486,642 shares of our non-voting common stock, held by approximately 4 stockholders of record. We have never declared or paid any cash dividends on our common stock.</w:t>
      </w:r>
    </w:p>
    <w:p>
      <w:pPr>
        <w:pStyle w:val="TextBody"/>
        <w:bidi w:val="0"/>
        <w:spacing w:before="0" w:after="0"/>
        <w:ind w:left="720" w:right="0" w:hanging="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As disclosed in these Definitive Additional Materials, purported stockholders of Apogee have commenced litigation against or sent demand letters to Apogee, alleging that the Definitive Proxy Statement omits material information or contains misleading disclosures. Apogee believes that no further disclosure is required to supplement the Definitive Proxy Statement under applicable law; however, to avoid the risks and uncertainties inherent in litigation and the risk that lawsuits may delay or otherwise adversely affect the consummation of the proposed Merger and to minimize the expense of defending such actions, Apogee wishes to voluntarily make supplemental disclosures related to the proposed Merger, which are set forth below, in response to some allegations. However, nothing in these Definitive Additional Materials shall be deemed an admission of liability or the legal necessity or materiality under applicable law of any of the disclosures set forth herein.</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The Merger</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Background of the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Merger—Background of the Merger” </w:t>
      </w:r>
      <w:r>
        <w:rPr>
          <w:rFonts w:ascii="Times New Roman" w:hAnsi="Times New Roman"/>
          <w:i/>
          <w:color w:val="000000"/>
          <w:sz w:val="20"/>
        </w:rPr>
        <w:t>is hereby amended by adding the following language after the end of the seventh full paragraph on page 33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June 8 Offer did not contemplate the retention of any member of our board of directors or management in the surviving corporation or their purchase of or participation in the equity of the surviving corporation following the completion of the proposed transaction.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Merger—Background of the Merger” </w:t>
      </w:r>
      <w:r>
        <w:rPr>
          <w:rFonts w:ascii="Times New Roman" w:hAnsi="Times New Roman"/>
          <w:i/>
          <w:color w:val="000000"/>
          <w:sz w:val="20"/>
        </w:rPr>
        <w:t>is hereby amended by adding the following language after the end of the last paragraph on page 34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June 11 Offer did not contemplate the retention of any member of our board of directors or management in the surviving corporation or their purchase of or participation in the equity of the surviving corporation following the completion of the proposed transaction.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Merger—Background of the Merger” </w:t>
      </w:r>
      <w:r>
        <w:rPr>
          <w:rFonts w:ascii="Times New Roman" w:hAnsi="Times New Roman"/>
          <w:i/>
          <w:color w:val="000000"/>
          <w:sz w:val="20"/>
        </w:rPr>
        <w:t>is hereby amended by adding the following bolded and double underlined language to the fifth paragraph on page 36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Also on June 16, 2026, the audit committee of our board of directors</w:t>
      </w:r>
      <w:r>
        <w:rPr>
          <w:rFonts w:ascii="Times New Roman" w:hAnsi="Times New Roman"/>
          <w:b/>
          <w:color w:val="000000"/>
          <w:sz w:val="20"/>
          <w:u w:val="single"/>
          <w:bdr w:val="single" w:sz="2" w:space="1" w:color="000000"/>
        </w:rPr>
        <w:t>, which consists of directors Jennifer Fox, Mr. McKenna, and Nimish Shah,</w:t>
      </w:r>
      <w:r>
        <w:rPr>
          <w:rFonts w:ascii="Times New Roman" w:hAnsi="Times New Roman"/>
          <w:color w:val="000000"/>
          <w:sz w:val="20"/>
        </w:rPr>
        <w:t xml:space="preserve"> held a meeting during which our management provided an update regarding the IL-31R Agreements, which required approval by the audit committee under our related person transactions policy given Paragon’s relationships with Apogee (as further described in the section of this proxy statement captioned “Interests of Apogee’s Directors and Executive Officers in the Merger”). The audit committee </w:t>
      </w:r>
      <w:r>
        <w:rPr>
          <w:rFonts w:ascii="Times New Roman" w:hAnsi="Times New Roman"/>
          <w:b/>
          <w:color w:val="000000"/>
          <w:sz w:val="20"/>
          <w:u w:val="single"/>
          <w:bdr w:val="single" w:sz="2" w:space="1" w:color="000000"/>
        </w:rPr>
        <w:t>unanimously</w:t>
      </w:r>
      <w:r>
        <w:rPr>
          <w:rFonts w:ascii="Times New Roman" w:hAnsi="Times New Roman"/>
          <w:color w:val="000000"/>
          <w:sz w:val="20"/>
        </w:rPr>
        <w:t xml:space="preserve"> pre-approved entry into the IL-31R Agreements in accordance with our related person transaction policies and procedures and </w:t>
      </w:r>
      <w:r>
        <w:rPr>
          <w:rFonts w:ascii="Times New Roman" w:hAnsi="Times New Roman"/>
          <w:b/>
          <w:color w:val="000000"/>
          <w:sz w:val="20"/>
          <w:u w:val="single"/>
          <w:bdr w:val="single" w:sz="2" w:space="1" w:color="000000"/>
        </w:rPr>
        <w:t>unanimously</w:t>
      </w:r>
      <w:r>
        <w:rPr>
          <w:rFonts w:ascii="Times New Roman" w:hAnsi="Times New Roman"/>
          <w:color w:val="000000"/>
          <w:sz w:val="20"/>
        </w:rPr>
        <w:t xml:space="preserve"> recommended to our board of directors approval of the IL-31R Agreements and the Omnibus Amendment, which our board of directors </w:t>
      </w:r>
      <w:r>
        <w:rPr>
          <w:rFonts w:ascii="Times New Roman" w:hAnsi="Times New Roman"/>
          <w:b/>
          <w:color w:val="000000"/>
          <w:sz w:val="20"/>
          <w:u w:val="single"/>
          <w:bdr w:val="single" w:sz="2" w:space="1" w:color="000000"/>
        </w:rPr>
        <w:t>unanimously</w:t>
      </w:r>
      <w:r>
        <w:rPr>
          <w:rFonts w:ascii="Times New Roman" w:hAnsi="Times New Roman"/>
          <w:color w:val="000000"/>
          <w:sz w:val="20"/>
        </w:rPr>
        <w:t xml:space="preserve"> approved by written consent on June 17,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Merger—Background of the Merger” </w:t>
      </w:r>
      <w:r>
        <w:rPr>
          <w:rFonts w:ascii="Times New Roman" w:hAnsi="Times New Roman"/>
          <w:i/>
          <w:color w:val="000000"/>
          <w:sz w:val="20"/>
        </w:rPr>
        <w:t>is hereby amended by adding the following bolded and double underlined language to the last paragraph beginning on page 36 of the Definitive Proxy Statement: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On June 18, 2026, our board of directors held a meeting, also attended by our management and representatives of Goldman Sachs, Jefferies and Kirkland. Management provided our board of directors with an overview of the IL-31R Agreements and Omnibus Amendment with Paragon. Kirkland reminded our board of directors that, under the terms of our revenue participation right purchase and sale agreement with an affiliate of funds managed by Blackstone, Blackstone would receive a meaningful benefit as a result of the proposed transaction with AbbVie. </w:t>
      </w:r>
      <w:r>
        <w:rPr>
          <w:rFonts w:ascii="Times New Roman" w:hAnsi="Times New Roman"/>
          <w:b/>
          <w:color w:val="000000"/>
          <w:sz w:val="20"/>
          <w:u w:val="single"/>
          <w:bdr w:val="single" w:sz="2" w:space="1" w:color="000000"/>
        </w:rPr>
        <w:t>In particular, Blackstone would be entitled to receive a payment as a result of a change of control of Apogee under the terms of the revenue participation right purchase and sale agreement.</w:t>
      </w:r>
      <w:r>
        <w:rPr>
          <w:rFonts w:ascii="Times New Roman" w:hAnsi="Times New Roman"/>
          <w:color w:val="000000"/>
          <w:sz w:val="20"/>
        </w:rPr>
        <w:t xml:space="preserve"> Kirkland informed our board of directors that, in response to Kirkland’s email from the previous day, a member of our board of directors</w:t>
      </w:r>
      <w:r>
        <w:rPr>
          <w:rFonts w:ascii="Times New Roman" w:hAnsi="Times New Roman"/>
          <w:b/>
          <w:color w:val="000000"/>
          <w:sz w:val="20"/>
          <w:u w:val="single"/>
          <w:bdr w:val="single" w:sz="2" w:space="1" w:color="000000"/>
        </w:rPr>
        <w:t>, Tomas Kiselak,</w:t>
      </w:r>
      <w:r>
        <w:rPr>
          <w:rFonts w:ascii="Times New Roman" w:hAnsi="Times New Roman"/>
          <w:color w:val="000000"/>
          <w:sz w:val="20"/>
        </w:rPr>
        <w:t xml:space="preserve"> had disclosed that, from time to time, companies in the Fairmount Funds Management portfolio engage in transactions with Blackstone and that a company in the Fairmount Funds Management portfolio was in early-stage discussions about the possibility of a transaction with Blackstone in the coming months, and the other members of our board of directors confirmed that they did not have any of the relationships with Blackstone described in the email from Kirkland. Kirkland informed our board of directors that the holders of our non-voting common stock had approved the proposed transaction with AbbVie for purposes of Section 4.2(b) of our charter and reviewed our board of directors’ fiduciary duties. Jefferies confirmed to our board of directors that there were no changes to the financial projections prepared by management and reviewed with our board of directors on June 11, 2026. Jefferies and Goldman Sachs then reviewed with our board of directors their respective financial analyses of the transaction and orally delivered their respective opinions that the proposed transaction with AbbVie was fair from a financial point of view to our stockholders. Kirkland discussed with our board of directors the material terms of the proposed merger agreement and related documentation. Following these discussions, our board of directors unanimously (1) determined that the proposed merger agreement and the transactions contemplated by it are advisable and fair to and in the best interests of Apogee and our stockholders; (2) declared that it is advisable for Apogee to enter into the proposed merger agreement; (3) approved the execution, delivery and performance by Apogee of the proposed merger agreement and the consummation of the transactions contemplated by it; and (4) on the terms and subject to the conditions of the proposed merger agreement, recommended that our stockholders adopt the proposed merger agreement at a special meeting of our stockholders.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Merger—Background of the Merger” </w:t>
      </w:r>
      <w:r>
        <w:rPr>
          <w:rFonts w:ascii="Times New Roman" w:hAnsi="Times New Roman"/>
          <w:i/>
          <w:color w:val="000000"/>
          <w:sz w:val="20"/>
        </w:rPr>
        <w:t>is hereby amended by adding the following language after the end of the first full paragraph on page 37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There were no discussions between AbbVie and any director or executive officer of Apogee at any time prior to the execution of the merger agreement regarding potential employment or directorship arrangements or compensation, nor were there any discussions related to our management’s participation in the equity of or employment with the surviving corporation.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Opinion of Apogee’s Financial Advisors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Opinion of Goldman Sachs &amp; Co. LLC</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Illustrative Discounted Cash Flow Analysis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Merger—Opinion of Apogee’s Financial Advisors—Opinion of Goldman Sachs &amp; Co. LLC—Illustrative Discounted Cash Flow Analysis” </w:t>
      </w:r>
      <w:r>
        <w:rPr>
          <w:rFonts w:ascii="Times New Roman" w:hAnsi="Times New Roman"/>
          <w:i/>
          <w:color w:val="000000"/>
          <w:sz w:val="20"/>
        </w:rPr>
        <w:t>is hereby amended by adding the following bolded and double underlined language to the last paragraph beginning on page 44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Using the Management Projections and the NOL Forecasts, Goldman Sachs performed an illustrative discounted cash flow analysis on Apogee to derive a range of illustrative present values per share of our common stock. Using the mid-year convention for discounting cash flows and discount rates ranging from 12.0% to 14.0%, reflecting estimates of Apogee’s weighted average cost of capital, Goldman Sachs discounted to present value as of March 31, 2026 (i) estimates of unlevered free cash flow for Apogee for the fiscal years 2026 through 2046 as reflected in the Management Projections, (ii) a range of illustrative terminal values for Apogee, which were calculated by applying perpetuity growth rates ranging from negative 15.0% to negative 5.0%, to a terminal year estimate of the unlevered free cash flow to be generated by Apogee </w:t>
      </w:r>
      <w:r>
        <w:rPr>
          <w:rFonts w:ascii="Times New Roman" w:hAnsi="Times New Roman"/>
          <w:b/>
          <w:color w:val="000000"/>
          <w:sz w:val="20"/>
          <w:u w:val="single"/>
          <w:bdr w:val="single" w:sz="2" w:space="1" w:color="000000"/>
        </w:rPr>
        <w:t>of approximately $370 million</w:t>
      </w:r>
      <w:r>
        <w:rPr>
          <w:rFonts w:ascii="Times New Roman" w:hAnsi="Times New Roman"/>
          <w:color w:val="000000"/>
          <w:sz w:val="20"/>
        </w:rPr>
        <w:t>, as reflected in the Management Projections, (iii) the estimated benefits of Apogee’s net operating losses and research and development tax credits for the years 2026 through 2046, as reflected in the NOL Forecasts and (iv) the estimated benefits of the milestone payments payable to Apogee pursuant to a strategic financing collaboration agreement entered into in May 2026, for the years 2026 through 2046, as reflected in the Management Projections. The range of perpetuity growth rates was estimated by Goldman Sachs utilizing its professional judgment and experience, taking into account the Management Projections. Goldman Sachs derived the range of discount rates used to reflect estimates of Apogee’s weighted average cost of capital by application of the capital asset pricing model, which requires certain company-specific inputs, including Apogee’s target capital structure weightings, the cost of long-term debt, after-tax yield on permanent excess cash, if any, future applicable marginal cash tax rate and a beta for Apogee, as well as certain financial metrics for the United States financial markets generally.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Merger—Opinion of Apogee’s Financial Advisors—Opinion of Goldman Sachs &amp; Co. LLC—Illustrative Discounted Cash Flow Analysis” </w:t>
      </w:r>
      <w:r>
        <w:rPr>
          <w:rFonts w:ascii="Times New Roman" w:hAnsi="Times New Roman"/>
          <w:i/>
          <w:color w:val="000000"/>
          <w:sz w:val="20"/>
        </w:rPr>
        <w:t>is hereby amended by adding the following bolded and double underlined language to the first full paragraph on page 45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Goldman Sachs derived ranges of illustrative enterprise values for Apogee by adding the ranges of present values it derived above. Goldman Sachs then subtracted from the range of illustrative enterprise values it derived for Apogee the amount of Apogee’s total debt and debt-like items </w:t>
      </w:r>
      <w:r>
        <w:rPr>
          <w:rFonts w:ascii="Times New Roman" w:hAnsi="Times New Roman"/>
          <w:b/>
          <w:color w:val="000000"/>
          <w:sz w:val="20"/>
          <w:u w:val="single"/>
          <w:bdr w:val="single" w:sz="2" w:space="1" w:color="000000"/>
        </w:rPr>
        <w:t>of $0</w:t>
      </w:r>
      <w:r>
        <w:rPr>
          <w:rFonts w:ascii="Times New Roman" w:hAnsi="Times New Roman"/>
          <w:color w:val="000000"/>
          <w:sz w:val="20"/>
        </w:rPr>
        <w:t xml:space="preserve"> and added the amount of Apogee’s cash and cash equivalents </w:t>
      </w:r>
      <w:r>
        <w:rPr>
          <w:rFonts w:ascii="Times New Roman" w:hAnsi="Times New Roman"/>
          <w:b/>
          <w:color w:val="000000"/>
          <w:sz w:val="20"/>
          <w:u w:val="single"/>
          <w:bdr w:val="single" w:sz="2" w:space="1" w:color="000000"/>
        </w:rPr>
        <w:t>of $1,358 million</w:t>
      </w:r>
      <w:r>
        <w:rPr>
          <w:rFonts w:ascii="Times New Roman" w:hAnsi="Times New Roman"/>
          <w:color w:val="000000"/>
          <w:sz w:val="20"/>
        </w:rPr>
        <w:t xml:space="preserve">, in each case, as provided by and approved for Goldman Sachs’ use by the management of Apogee, to derive a range of illustrative equity values for Apogee. Goldman Sachs then divided the range of illustrative equity values it derived by the number of fully diluted outstanding shares of our common stock </w:t>
      </w:r>
      <w:r>
        <w:rPr>
          <w:rFonts w:ascii="Times New Roman" w:hAnsi="Times New Roman"/>
          <w:b/>
          <w:color w:val="000000"/>
          <w:sz w:val="20"/>
          <w:u w:val="single"/>
          <w:bdr w:val="single" w:sz="2" w:space="1" w:color="000000"/>
        </w:rPr>
        <w:t>as of June 15, 2026, of 82.924 million</w:t>
      </w:r>
      <w:r>
        <w:rPr>
          <w:rFonts w:ascii="Times New Roman" w:hAnsi="Times New Roman"/>
          <w:color w:val="000000"/>
          <w:sz w:val="20"/>
        </w:rPr>
        <w:t>, as provided by and approved for Goldman Sachs’ use by the management of Apogee, using the treasury stock method, to derive a range of illustrative present values per share of our common stock ranging from $98.90 to $119.20.</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Premia Paid Analysis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Merger—Opinion of Apogee’s Financial Advisors—Opinion of Goldman Sachs &amp; Co. LLC—Premia Paid Analysis” </w:t>
      </w:r>
      <w:r>
        <w:rPr>
          <w:rFonts w:ascii="Times New Roman" w:hAnsi="Times New Roman"/>
          <w:i/>
          <w:color w:val="000000"/>
          <w:sz w:val="20"/>
        </w:rPr>
        <w:t>is hereby amended by adding the following chart after the second full paragraph on page 45 of the Definitive Proxy Statement:</w:t>
      </w:r>
    </w:p>
    <w:p>
      <w:pPr>
        <w:pStyle w:val="TextBody"/>
        <w:bidi w:val="0"/>
        <w:spacing w:before="0" w:after="0"/>
        <w:jc w:val="left"/>
        <w:rPr/>
      </w:pPr>
      <w:r>
        <w:rPr/>
      </w:r>
    </w:p>
    <w:p>
      <w:pPr>
        <w:pStyle w:val="TextBody"/>
        <w:bidi w:val="0"/>
        <w:spacing w:before="0" w:after="0"/>
        <w:ind w:left="0" w:right="0" w:firstLine="720"/>
        <w:jc w:val="center"/>
        <w:rPr>
          <w:rFonts w:ascii="Times New Roman" w:hAnsi="Times New Roman"/>
          <w:b/>
          <w:color w:val="000000"/>
          <w:sz w:val="20"/>
        </w:rPr>
      </w:pPr>
      <w:r>
        <w:rPr>
          <w:rFonts w:ascii="Times New Roman" w:hAnsi="Times New Roman"/>
          <w:b/>
          <w:color w:val="000000"/>
          <w:sz w:val="20"/>
        </w:rPr>
        <w:t>Selected Transactions</w:t>
      </w:r>
    </w:p>
    <w:p>
      <w:pPr>
        <w:pStyle w:val="TextBody"/>
        <w:bidi w:val="0"/>
        <w:spacing w:before="0" w:after="0"/>
        <w:jc w:val="left"/>
        <w:rPr/>
      </w:pPr>
      <w:r>
        <w:rPr/>
      </w:r>
    </w:p>
    <w:p>
      <w:pPr>
        <w:pStyle w:val="Normal"/>
        <w:bidi w:val="0"/>
        <w:spacing w:before="0" w:after="0"/>
        <w:ind w:left="720" w:right="0" w:hanging="0"/>
        <w:jc w:val="left"/>
        <w:rPr>
          <w:sz w:val="4"/>
          <w:szCs w:val="4"/>
        </w:rPr>
      </w:pPr>
      <w:r>
        <w:rPr>
          <w:sz w:val="4"/>
          <w:szCs w:val="4"/>
        </w:rPr>
      </w:r>
      <w:bookmarkStart w:id="44" w:name="zdcbd68b554d241dd8a426777c4aa79f8"/>
      <w:bookmarkStart w:id="45" w:name="zdcbd68b554d241dd8a426777c4aa79f8"/>
      <w:bookmarkEnd w:id="45"/>
    </w:p>
    <w:tbl>
      <w:tblPr>
        <w:tblW w:w="9485" w:type="dxa"/>
        <w:jc w:val="left"/>
        <w:tblInd w:w="720" w:type="dxa"/>
        <w:tblLayout w:type="fixed"/>
        <w:tblCellMar>
          <w:top w:w="0" w:type="dxa"/>
          <w:left w:w="0" w:type="dxa"/>
          <w:bottom w:w="28" w:type="dxa"/>
          <w:right w:w="0" w:type="dxa"/>
        </w:tblCellMar>
      </w:tblPr>
      <w:tblGrid>
        <w:gridCol w:w="1838"/>
        <w:gridCol w:w="3901"/>
        <w:gridCol w:w="2097"/>
        <w:gridCol w:w="1649"/>
      </w:tblGrid>
      <w:tr>
        <w:trPr/>
        <w:tc>
          <w:tcPr>
            <w:tcW w:w="1838" w:type="dxa"/>
            <w:tcBorders>
              <w:bottom w:val="single" w:sz="12" w:space="0" w:color="000000"/>
            </w:tcBorders>
            <w:vAlign w:val="center"/>
          </w:tcPr>
          <w:p>
            <w:pPr>
              <w:pStyle w:val="TableContents"/>
              <w:bidi w:val="0"/>
              <w:spacing w:before="0" w:after="0"/>
              <w:jc w:val="center"/>
              <w:rPr>
                <w:b/>
              </w:rPr>
            </w:pPr>
            <w:r>
              <w:rPr>
                <w:b/>
              </w:rPr>
              <w:t xml:space="preserve">Announcement </w:t>
            </w:r>
          </w:p>
          <w:p>
            <w:pPr>
              <w:pStyle w:val="TableContents"/>
              <w:bidi w:val="0"/>
              <w:spacing w:before="0" w:after="0"/>
              <w:jc w:val="center"/>
              <w:rPr>
                <w:b/>
              </w:rPr>
            </w:pPr>
            <w:r>
              <w:rPr>
                <w:b/>
              </w:rPr>
              <w:t>Date</w:t>
            </w:r>
          </w:p>
        </w:tc>
        <w:tc>
          <w:tcPr>
            <w:tcW w:w="3901" w:type="dxa"/>
            <w:tcBorders>
              <w:bottom w:val="single" w:sz="12" w:space="0" w:color="000000"/>
            </w:tcBorders>
            <w:vAlign w:val="center"/>
          </w:tcPr>
          <w:p>
            <w:pPr>
              <w:pStyle w:val="TableContents"/>
              <w:bidi w:val="0"/>
              <w:spacing w:before="0" w:after="0"/>
              <w:jc w:val="center"/>
              <w:rPr>
                <w:b/>
              </w:rPr>
            </w:pPr>
            <w:r>
              <w:rPr>
                <w:b/>
              </w:rPr>
              <w:t>Target</w:t>
            </w:r>
          </w:p>
        </w:tc>
        <w:tc>
          <w:tcPr>
            <w:tcW w:w="2097" w:type="dxa"/>
            <w:tcBorders>
              <w:bottom w:val="single" w:sz="12" w:space="0" w:color="000000"/>
            </w:tcBorders>
            <w:vAlign w:val="center"/>
          </w:tcPr>
          <w:p>
            <w:pPr>
              <w:pStyle w:val="TableContents"/>
              <w:bidi w:val="0"/>
              <w:spacing w:before="0" w:after="0"/>
              <w:jc w:val="center"/>
              <w:rPr>
                <w:b/>
              </w:rPr>
            </w:pPr>
            <w:r>
              <w:rPr>
                <w:b/>
              </w:rPr>
              <w:t>Acquiror</w:t>
            </w:r>
          </w:p>
        </w:tc>
        <w:tc>
          <w:tcPr>
            <w:tcW w:w="1649" w:type="dxa"/>
            <w:tcBorders>
              <w:bottom w:val="single" w:sz="12" w:space="0" w:color="000000"/>
            </w:tcBorders>
            <w:vAlign w:val="center"/>
          </w:tcPr>
          <w:p>
            <w:pPr>
              <w:pStyle w:val="TableContents"/>
              <w:bidi w:val="0"/>
              <w:spacing w:before="0" w:after="0"/>
              <w:jc w:val="center"/>
              <w:rPr>
                <w:b/>
              </w:rPr>
            </w:pPr>
            <w:r>
              <w:rPr>
                <w:b/>
              </w:rPr>
              <w:t xml:space="preserve">Premium to </w:t>
            </w:r>
          </w:p>
          <w:p>
            <w:pPr>
              <w:pStyle w:val="TableContents"/>
              <w:bidi w:val="0"/>
              <w:spacing w:before="0" w:after="0"/>
              <w:jc w:val="center"/>
              <w:rPr>
                <w:b/>
              </w:rPr>
            </w:pPr>
            <w:r>
              <w:rPr>
                <w:b/>
              </w:rPr>
              <w:t>Undisturbed (%)</w:t>
            </w:r>
          </w:p>
        </w:tc>
      </w:tr>
      <w:tr>
        <w:trPr/>
        <w:tc>
          <w:tcPr>
            <w:tcW w:w="1838" w:type="dxa"/>
            <w:tcBorders/>
            <w:shd w:fill="CCEEFF" w:val="clear"/>
            <w:tcMar>
              <w:bottom w:w="0" w:type="dxa"/>
            </w:tcMar>
            <w:vAlign w:val="center"/>
          </w:tcPr>
          <w:p>
            <w:pPr>
              <w:pStyle w:val="TableContents"/>
              <w:bidi w:val="0"/>
              <w:spacing w:before="0" w:after="0"/>
              <w:jc w:val="center"/>
              <w:rPr/>
            </w:pPr>
            <w:r>
              <w:rPr/>
              <w:t>June 9, 2026</w:t>
            </w:r>
          </w:p>
        </w:tc>
        <w:tc>
          <w:tcPr>
            <w:tcW w:w="3901" w:type="dxa"/>
            <w:tcBorders/>
            <w:shd w:fill="CCEEFF" w:val="clear"/>
            <w:tcMar>
              <w:bottom w:w="0" w:type="dxa"/>
            </w:tcMar>
            <w:vAlign w:val="center"/>
          </w:tcPr>
          <w:p>
            <w:pPr>
              <w:pStyle w:val="TableContents"/>
              <w:bidi w:val="0"/>
              <w:spacing w:before="0" w:after="0"/>
              <w:jc w:val="center"/>
              <w:rPr/>
            </w:pPr>
            <w:r>
              <w:rPr/>
              <w:t>Nuvalent, Inc.</w:t>
            </w:r>
          </w:p>
        </w:tc>
        <w:tc>
          <w:tcPr>
            <w:tcW w:w="2097" w:type="dxa"/>
            <w:tcBorders/>
            <w:shd w:fill="CCEEFF" w:val="clear"/>
            <w:tcMar>
              <w:bottom w:w="0" w:type="dxa"/>
            </w:tcMar>
            <w:vAlign w:val="center"/>
          </w:tcPr>
          <w:p>
            <w:pPr>
              <w:pStyle w:val="TableContents"/>
              <w:bidi w:val="0"/>
              <w:spacing w:before="0" w:after="0"/>
              <w:jc w:val="center"/>
              <w:rPr/>
            </w:pPr>
            <w:r>
              <w:rPr/>
              <w:t>GSK plc</w:t>
            </w:r>
          </w:p>
        </w:tc>
        <w:tc>
          <w:tcPr>
            <w:tcW w:w="1649" w:type="dxa"/>
            <w:tcBorders/>
            <w:shd w:fill="CCEEFF" w:val="clear"/>
            <w:tcMar>
              <w:bottom w:w="0" w:type="dxa"/>
            </w:tcMar>
            <w:vAlign w:val="center"/>
          </w:tcPr>
          <w:p>
            <w:pPr>
              <w:pStyle w:val="TableContents"/>
              <w:bidi w:val="0"/>
              <w:spacing w:before="0" w:after="0"/>
              <w:jc w:val="center"/>
              <w:rPr/>
            </w:pPr>
            <w:r>
              <w:rPr/>
              <w:t>40%</w:t>
            </w:r>
          </w:p>
        </w:tc>
      </w:tr>
      <w:tr>
        <w:trPr/>
        <w:tc>
          <w:tcPr>
            <w:tcW w:w="1838" w:type="dxa"/>
            <w:tcBorders/>
            <w:tcMar>
              <w:bottom w:w="0" w:type="dxa"/>
            </w:tcMar>
            <w:vAlign w:val="center"/>
          </w:tcPr>
          <w:p>
            <w:pPr>
              <w:pStyle w:val="TableContents"/>
              <w:bidi w:val="0"/>
              <w:spacing w:before="0" w:after="0"/>
              <w:jc w:val="center"/>
              <w:rPr/>
            </w:pPr>
            <w:r>
              <w:rPr/>
              <w:t>November 14, 2025</w:t>
            </w:r>
          </w:p>
        </w:tc>
        <w:tc>
          <w:tcPr>
            <w:tcW w:w="3901" w:type="dxa"/>
            <w:tcBorders/>
            <w:tcMar>
              <w:bottom w:w="0" w:type="dxa"/>
            </w:tcMar>
            <w:vAlign w:val="center"/>
          </w:tcPr>
          <w:p>
            <w:pPr>
              <w:pStyle w:val="TableContents"/>
              <w:bidi w:val="0"/>
              <w:spacing w:before="0" w:after="0"/>
              <w:jc w:val="center"/>
              <w:rPr/>
            </w:pPr>
            <w:r>
              <w:rPr/>
              <w:t>Cidara Therapeutics, Inc.</w:t>
            </w:r>
          </w:p>
        </w:tc>
        <w:tc>
          <w:tcPr>
            <w:tcW w:w="2097" w:type="dxa"/>
            <w:tcBorders/>
            <w:tcMar>
              <w:bottom w:w="0" w:type="dxa"/>
            </w:tcMar>
            <w:vAlign w:val="center"/>
          </w:tcPr>
          <w:p>
            <w:pPr>
              <w:pStyle w:val="TableContents"/>
              <w:bidi w:val="0"/>
              <w:spacing w:before="0" w:after="0"/>
              <w:jc w:val="center"/>
              <w:rPr/>
            </w:pPr>
            <w:r>
              <w:rPr/>
              <w:t>Merck</w:t>
            </w:r>
          </w:p>
        </w:tc>
        <w:tc>
          <w:tcPr>
            <w:tcW w:w="1649" w:type="dxa"/>
            <w:tcBorders/>
            <w:tcMar>
              <w:bottom w:w="0" w:type="dxa"/>
            </w:tcMar>
            <w:vAlign w:val="center"/>
          </w:tcPr>
          <w:p>
            <w:pPr>
              <w:pStyle w:val="TableContents"/>
              <w:bidi w:val="0"/>
              <w:spacing w:before="0" w:after="0"/>
              <w:jc w:val="center"/>
              <w:rPr/>
            </w:pPr>
            <w:r>
              <w:rPr/>
              <w:t>109%</w:t>
            </w:r>
          </w:p>
        </w:tc>
      </w:tr>
      <w:tr>
        <w:trPr/>
        <w:tc>
          <w:tcPr>
            <w:tcW w:w="1838" w:type="dxa"/>
            <w:tcBorders/>
            <w:shd w:fill="CCEEFF" w:val="clear"/>
            <w:tcMar>
              <w:bottom w:w="0" w:type="dxa"/>
            </w:tcMar>
            <w:vAlign w:val="center"/>
          </w:tcPr>
          <w:p>
            <w:pPr>
              <w:pStyle w:val="TableContents"/>
              <w:bidi w:val="0"/>
              <w:spacing w:before="0" w:after="0"/>
              <w:jc w:val="center"/>
              <w:rPr/>
            </w:pPr>
            <w:r>
              <w:rPr/>
              <w:t>October 26, 2025</w:t>
            </w:r>
          </w:p>
        </w:tc>
        <w:tc>
          <w:tcPr>
            <w:tcW w:w="3901" w:type="dxa"/>
            <w:tcBorders/>
            <w:shd w:fill="CCEEFF" w:val="clear"/>
            <w:tcMar>
              <w:bottom w:w="0" w:type="dxa"/>
            </w:tcMar>
            <w:vAlign w:val="center"/>
          </w:tcPr>
          <w:p>
            <w:pPr>
              <w:pStyle w:val="TableContents"/>
              <w:bidi w:val="0"/>
              <w:spacing w:before="0" w:after="0"/>
              <w:jc w:val="center"/>
              <w:rPr/>
            </w:pPr>
            <w:r>
              <w:rPr/>
              <w:t>Avidity Biosciences, Inc.</w:t>
            </w:r>
          </w:p>
        </w:tc>
        <w:tc>
          <w:tcPr>
            <w:tcW w:w="2097" w:type="dxa"/>
            <w:tcBorders/>
            <w:shd w:fill="CCEEFF" w:val="clear"/>
            <w:tcMar>
              <w:bottom w:w="0" w:type="dxa"/>
            </w:tcMar>
            <w:vAlign w:val="center"/>
          </w:tcPr>
          <w:p>
            <w:pPr>
              <w:pStyle w:val="TableContents"/>
              <w:bidi w:val="0"/>
              <w:spacing w:before="0" w:after="0"/>
              <w:jc w:val="center"/>
              <w:rPr/>
            </w:pPr>
            <w:r>
              <w:rPr/>
              <w:t>Novartis AG</w:t>
            </w:r>
          </w:p>
        </w:tc>
        <w:tc>
          <w:tcPr>
            <w:tcW w:w="1649" w:type="dxa"/>
            <w:tcBorders/>
            <w:shd w:fill="CCEEFF" w:val="clear"/>
            <w:tcMar>
              <w:bottom w:w="0" w:type="dxa"/>
            </w:tcMar>
            <w:vAlign w:val="center"/>
          </w:tcPr>
          <w:p>
            <w:pPr>
              <w:pStyle w:val="TableContents"/>
              <w:bidi w:val="0"/>
              <w:spacing w:before="0" w:after="0"/>
              <w:jc w:val="center"/>
              <w:rPr/>
            </w:pPr>
            <w:r>
              <w:rPr/>
              <w:t>46%</w:t>
            </w:r>
          </w:p>
        </w:tc>
      </w:tr>
      <w:tr>
        <w:trPr/>
        <w:tc>
          <w:tcPr>
            <w:tcW w:w="1838" w:type="dxa"/>
            <w:tcBorders/>
            <w:tcMar>
              <w:bottom w:w="0" w:type="dxa"/>
            </w:tcMar>
            <w:vAlign w:val="center"/>
          </w:tcPr>
          <w:p>
            <w:pPr>
              <w:pStyle w:val="TableContents"/>
              <w:bidi w:val="0"/>
              <w:spacing w:before="0" w:after="0"/>
              <w:jc w:val="center"/>
              <w:rPr/>
            </w:pPr>
            <w:r>
              <w:rPr/>
              <w:t>July 9, 2025</w:t>
            </w:r>
          </w:p>
        </w:tc>
        <w:tc>
          <w:tcPr>
            <w:tcW w:w="3901" w:type="dxa"/>
            <w:tcBorders/>
            <w:tcMar>
              <w:bottom w:w="0" w:type="dxa"/>
            </w:tcMar>
            <w:vAlign w:val="center"/>
          </w:tcPr>
          <w:p>
            <w:pPr>
              <w:pStyle w:val="TableContents"/>
              <w:bidi w:val="0"/>
              <w:spacing w:before="0" w:after="0"/>
              <w:jc w:val="center"/>
              <w:rPr/>
            </w:pPr>
            <w:r>
              <w:rPr/>
              <w:t>Verona Pharma plc</w:t>
            </w:r>
          </w:p>
        </w:tc>
        <w:tc>
          <w:tcPr>
            <w:tcW w:w="2097" w:type="dxa"/>
            <w:tcBorders/>
            <w:tcMar>
              <w:bottom w:w="0" w:type="dxa"/>
            </w:tcMar>
            <w:vAlign w:val="center"/>
          </w:tcPr>
          <w:p>
            <w:pPr>
              <w:pStyle w:val="TableContents"/>
              <w:bidi w:val="0"/>
              <w:spacing w:before="0" w:after="0"/>
              <w:jc w:val="center"/>
              <w:rPr/>
            </w:pPr>
            <w:r>
              <w:rPr/>
              <w:t>Merck</w:t>
            </w:r>
          </w:p>
        </w:tc>
        <w:tc>
          <w:tcPr>
            <w:tcW w:w="1649" w:type="dxa"/>
            <w:tcBorders/>
            <w:tcMar>
              <w:bottom w:w="0" w:type="dxa"/>
            </w:tcMar>
            <w:vAlign w:val="center"/>
          </w:tcPr>
          <w:p>
            <w:pPr>
              <w:pStyle w:val="TableContents"/>
              <w:bidi w:val="0"/>
              <w:spacing w:before="0" w:after="0"/>
              <w:jc w:val="center"/>
              <w:rPr/>
            </w:pPr>
            <w:r>
              <w:rPr/>
              <w:t>23%</w:t>
            </w:r>
          </w:p>
        </w:tc>
      </w:tr>
      <w:tr>
        <w:trPr/>
        <w:tc>
          <w:tcPr>
            <w:tcW w:w="1838" w:type="dxa"/>
            <w:tcBorders/>
            <w:shd w:fill="CCEEFF" w:val="clear"/>
            <w:tcMar>
              <w:bottom w:w="0" w:type="dxa"/>
            </w:tcMar>
            <w:vAlign w:val="center"/>
          </w:tcPr>
          <w:p>
            <w:pPr>
              <w:pStyle w:val="TableContents"/>
              <w:bidi w:val="0"/>
              <w:spacing w:before="0" w:after="0"/>
              <w:jc w:val="center"/>
              <w:rPr/>
            </w:pPr>
            <w:r>
              <w:rPr/>
              <w:t>June 2, 2025</w:t>
            </w:r>
          </w:p>
        </w:tc>
        <w:tc>
          <w:tcPr>
            <w:tcW w:w="3901" w:type="dxa"/>
            <w:tcBorders/>
            <w:shd w:fill="CCEEFF" w:val="clear"/>
            <w:tcMar>
              <w:bottom w:w="0" w:type="dxa"/>
            </w:tcMar>
            <w:vAlign w:val="center"/>
          </w:tcPr>
          <w:p>
            <w:pPr>
              <w:pStyle w:val="TableContents"/>
              <w:bidi w:val="0"/>
              <w:spacing w:before="0" w:after="0"/>
              <w:jc w:val="center"/>
              <w:rPr/>
            </w:pPr>
            <w:r>
              <w:rPr/>
              <w:t>Blueprint Medicines Corporation</w:t>
            </w:r>
          </w:p>
        </w:tc>
        <w:tc>
          <w:tcPr>
            <w:tcW w:w="2097" w:type="dxa"/>
            <w:tcBorders/>
            <w:shd w:fill="CCEEFF" w:val="clear"/>
            <w:tcMar>
              <w:bottom w:w="0" w:type="dxa"/>
            </w:tcMar>
            <w:vAlign w:val="center"/>
          </w:tcPr>
          <w:p>
            <w:pPr>
              <w:pStyle w:val="TableContents"/>
              <w:bidi w:val="0"/>
              <w:spacing w:before="0" w:after="0"/>
              <w:jc w:val="center"/>
              <w:rPr/>
            </w:pPr>
            <w:r>
              <w:rPr/>
              <w:t>Sanofi</w:t>
            </w:r>
          </w:p>
        </w:tc>
        <w:tc>
          <w:tcPr>
            <w:tcW w:w="1649" w:type="dxa"/>
            <w:tcBorders/>
            <w:shd w:fill="CCEEFF" w:val="clear"/>
            <w:tcMar>
              <w:bottom w:w="0" w:type="dxa"/>
            </w:tcMar>
            <w:vAlign w:val="center"/>
          </w:tcPr>
          <w:p>
            <w:pPr>
              <w:pStyle w:val="TableContents"/>
              <w:bidi w:val="0"/>
              <w:spacing w:before="0" w:after="0"/>
              <w:jc w:val="center"/>
              <w:rPr/>
            </w:pPr>
            <w:r>
              <w:rPr/>
              <w:t>27%</w:t>
            </w:r>
          </w:p>
        </w:tc>
      </w:tr>
      <w:tr>
        <w:trPr/>
        <w:tc>
          <w:tcPr>
            <w:tcW w:w="1838" w:type="dxa"/>
            <w:tcBorders/>
            <w:tcMar>
              <w:bottom w:w="0" w:type="dxa"/>
            </w:tcMar>
            <w:vAlign w:val="center"/>
          </w:tcPr>
          <w:p>
            <w:pPr>
              <w:pStyle w:val="TableContents"/>
              <w:bidi w:val="0"/>
              <w:spacing w:before="0" w:after="0"/>
              <w:jc w:val="center"/>
              <w:rPr/>
            </w:pPr>
            <w:r>
              <w:rPr/>
              <w:t>January 13, 2025</w:t>
            </w:r>
          </w:p>
        </w:tc>
        <w:tc>
          <w:tcPr>
            <w:tcW w:w="3901" w:type="dxa"/>
            <w:tcBorders/>
            <w:tcMar>
              <w:bottom w:w="0" w:type="dxa"/>
            </w:tcMar>
            <w:vAlign w:val="center"/>
          </w:tcPr>
          <w:p>
            <w:pPr>
              <w:pStyle w:val="TableContents"/>
              <w:bidi w:val="0"/>
              <w:spacing w:before="0" w:after="0"/>
              <w:jc w:val="center"/>
              <w:rPr/>
            </w:pPr>
            <w:r>
              <w:rPr/>
              <w:t>Intra-Cellular Therapies, Inc.</w:t>
            </w:r>
          </w:p>
        </w:tc>
        <w:tc>
          <w:tcPr>
            <w:tcW w:w="2097" w:type="dxa"/>
            <w:tcBorders/>
            <w:tcMar>
              <w:bottom w:w="0" w:type="dxa"/>
            </w:tcMar>
            <w:vAlign w:val="center"/>
          </w:tcPr>
          <w:p>
            <w:pPr>
              <w:pStyle w:val="TableContents"/>
              <w:bidi w:val="0"/>
              <w:spacing w:before="0" w:after="0"/>
              <w:jc w:val="center"/>
              <w:rPr/>
            </w:pPr>
            <w:r>
              <w:rPr/>
              <w:t>Johnson &amp; Johnson</w:t>
            </w:r>
          </w:p>
        </w:tc>
        <w:tc>
          <w:tcPr>
            <w:tcW w:w="1649" w:type="dxa"/>
            <w:tcBorders/>
            <w:tcMar>
              <w:bottom w:w="0" w:type="dxa"/>
            </w:tcMar>
            <w:vAlign w:val="center"/>
          </w:tcPr>
          <w:p>
            <w:pPr>
              <w:pStyle w:val="TableContents"/>
              <w:bidi w:val="0"/>
              <w:spacing w:before="0" w:after="0"/>
              <w:jc w:val="center"/>
              <w:rPr/>
            </w:pPr>
            <w:r>
              <w:rPr/>
              <w:t>60%</w:t>
            </w:r>
          </w:p>
        </w:tc>
      </w:tr>
      <w:tr>
        <w:trPr/>
        <w:tc>
          <w:tcPr>
            <w:tcW w:w="1838" w:type="dxa"/>
            <w:tcBorders/>
            <w:shd w:fill="CCEEFF" w:val="clear"/>
            <w:tcMar>
              <w:bottom w:w="0" w:type="dxa"/>
            </w:tcMar>
            <w:vAlign w:val="center"/>
          </w:tcPr>
          <w:p>
            <w:pPr>
              <w:pStyle w:val="TableContents"/>
              <w:bidi w:val="0"/>
              <w:spacing w:before="0" w:after="0"/>
              <w:jc w:val="center"/>
              <w:rPr/>
            </w:pPr>
            <w:r>
              <w:rPr/>
              <w:t>December 22, 2023</w:t>
            </w:r>
          </w:p>
        </w:tc>
        <w:tc>
          <w:tcPr>
            <w:tcW w:w="3901" w:type="dxa"/>
            <w:tcBorders/>
            <w:shd w:fill="CCEEFF" w:val="clear"/>
            <w:tcMar>
              <w:bottom w:w="0" w:type="dxa"/>
            </w:tcMar>
            <w:vAlign w:val="center"/>
          </w:tcPr>
          <w:p>
            <w:pPr>
              <w:pStyle w:val="TableContents"/>
              <w:bidi w:val="0"/>
              <w:spacing w:before="0" w:after="0"/>
              <w:jc w:val="center"/>
              <w:rPr/>
            </w:pPr>
            <w:r>
              <w:rPr/>
              <w:t>Karuna Therapeutics, Inc.</w:t>
            </w:r>
          </w:p>
        </w:tc>
        <w:tc>
          <w:tcPr>
            <w:tcW w:w="2097" w:type="dxa"/>
            <w:tcBorders/>
            <w:shd w:fill="CCEEFF" w:val="clear"/>
            <w:tcMar>
              <w:bottom w:w="0" w:type="dxa"/>
            </w:tcMar>
            <w:vAlign w:val="center"/>
          </w:tcPr>
          <w:p>
            <w:pPr>
              <w:pStyle w:val="TableContents"/>
              <w:bidi w:val="0"/>
              <w:spacing w:before="0" w:after="0"/>
              <w:jc w:val="center"/>
              <w:rPr/>
            </w:pPr>
            <w:r>
              <w:rPr/>
              <w:t>Bristol Myers Squibb Co.</w:t>
            </w:r>
          </w:p>
        </w:tc>
        <w:tc>
          <w:tcPr>
            <w:tcW w:w="1649" w:type="dxa"/>
            <w:tcBorders/>
            <w:shd w:fill="CCEEFF" w:val="clear"/>
            <w:tcMar>
              <w:bottom w:w="0" w:type="dxa"/>
            </w:tcMar>
            <w:vAlign w:val="center"/>
          </w:tcPr>
          <w:p>
            <w:pPr>
              <w:pStyle w:val="TableContents"/>
              <w:bidi w:val="0"/>
              <w:spacing w:before="0" w:after="0"/>
              <w:jc w:val="center"/>
              <w:rPr/>
            </w:pPr>
            <w:r>
              <w:rPr/>
              <w:t>53%</w:t>
            </w:r>
          </w:p>
        </w:tc>
      </w:tr>
      <w:tr>
        <w:trPr/>
        <w:tc>
          <w:tcPr>
            <w:tcW w:w="1838" w:type="dxa"/>
            <w:tcBorders/>
            <w:tcMar>
              <w:bottom w:w="0" w:type="dxa"/>
            </w:tcMar>
            <w:vAlign w:val="center"/>
          </w:tcPr>
          <w:p>
            <w:pPr>
              <w:pStyle w:val="TableContents"/>
              <w:bidi w:val="0"/>
              <w:spacing w:before="0" w:after="0"/>
              <w:jc w:val="center"/>
              <w:rPr/>
            </w:pPr>
            <w:r>
              <w:rPr/>
              <w:t>November 30, 2023</w:t>
            </w:r>
          </w:p>
        </w:tc>
        <w:tc>
          <w:tcPr>
            <w:tcW w:w="3901" w:type="dxa"/>
            <w:tcBorders/>
            <w:tcMar>
              <w:bottom w:w="0" w:type="dxa"/>
            </w:tcMar>
            <w:vAlign w:val="center"/>
          </w:tcPr>
          <w:p>
            <w:pPr>
              <w:pStyle w:val="TableContents"/>
              <w:bidi w:val="0"/>
              <w:spacing w:before="0" w:after="0"/>
              <w:jc w:val="center"/>
              <w:rPr/>
            </w:pPr>
            <w:r>
              <w:rPr/>
              <w:t>ImmunoGen, Inc.</w:t>
            </w:r>
          </w:p>
        </w:tc>
        <w:tc>
          <w:tcPr>
            <w:tcW w:w="2097" w:type="dxa"/>
            <w:tcBorders/>
            <w:tcMar>
              <w:bottom w:w="0" w:type="dxa"/>
            </w:tcMar>
            <w:vAlign w:val="center"/>
          </w:tcPr>
          <w:p>
            <w:pPr>
              <w:pStyle w:val="TableContents"/>
              <w:bidi w:val="0"/>
              <w:spacing w:before="0" w:after="0"/>
              <w:jc w:val="center"/>
              <w:rPr/>
            </w:pPr>
            <w:r>
              <w:rPr/>
              <w:t>AbbVie Inc.</w:t>
            </w:r>
          </w:p>
        </w:tc>
        <w:tc>
          <w:tcPr>
            <w:tcW w:w="1649" w:type="dxa"/>
            <w:tcBorders/>
            <w:tcMar>
              <w:bottom w:w="0" w:type="dxa"/>
            </w:tcMar>
            <w:vAlign w:val="center"/>
          </w:tcPr>
          <w:p>
            <w:pPr>
              <w:pStyle w:val="TableContents"/>
              <w:bidi w:val="0"/>
              <w:spacing w:before="0" w:after="0"/>
              <w:jc w:val="center"/>
              <w:rPr/>
            </w:pPr>
            <w:r>
              <w:rPr/>
              <w:t>95%</w:t>
            </w:r>
          </w:p>
        </w:tc>
      </w:tr>
      <w:tr>
        <w:trPr/>
        <w:tc>
          <w:tcPr>
            <w:tcW w:w="1838" w:type="dxa"/>
            <w:tcBorders/>
            <w:shd w:fill="CCEEFF" w:val="clear"/>
            <w:tcMar>
              <w:bottom w:w="0" w:type="dxa"/>
            </w:tcMar>
            <w:vAlign w:val="center"/>
          </w:tcPr>
          <w:p>
            <w:pPr>
              <w:pStyle w:val="TableContents"/>
              <w:bidi w:val="0"/>
              <w:spacing w:before="0" w:after="0"/>
              <w:jc w:val="center"/>
              <w:rPr/>
            </w:pPr>
            <w:r>
              <w:rPr/>
              <w:t>April 16, 2023</w:t>
            </w:r>
          </w:p>
        </w:tc>
        <w:tc>
          <w:tcPr>
            <w:tcW w:w="3901" w:type="dxa"/>
            <w:tcBorders/>
            <w:shd w:fill="CCEEFF" w:val="clear"/>
            <w:tcMar>
              <w:bottom w:w="0" w:type="dxa"/>
            </w:tcMar>
            <w:vAlign w:val="center"/>
          </w:tcPr>
          <w:p>
            <w:pPr>
              <w:pStyle w:val="TableContents"/>
              <w:bidi w:val="0"/>
              <w:spacing w:before="0" w:after="0"/>
              <w:jc w:val="center"/>
              <w:rPr/>
            </w:pPr>
            <w:r>
              <w:rPr/>
              <w:t>Prometheus Biosciences, Inc.</w:t>
            </w:r>
          </w:p>
        </w:tc>
        <w:tc>
          <w:tcPr>
            <w:tcW w:w="2097" w:type="dxa"/>
            <w:tcBorders/>
            <w:shd w:fill="CCEEFF" w:val="clear"/>
            <w:tcMar>
              <w:bottom w:w="0" w:type="dxa"/>
            </w:tcMar>
            <w:vAlign w:val="center"/>
          </w:tcPr>
          <w:p>
            <w:pPr>
              <w:pStyle w:val="TableContents"/>
              <w:bidi w:val="0"/>
              <w:spacing w:before="0" w:after="0"/>
              <w:jc w:val="center"/>
              <w:rPr/>
            </w:pPr>
            <w:r>
              <w:rPr/>
              <w:t>Merck</w:t>
            </w:r>
          </w:p>
        </w:tc>
        <w:tc>
          <w:tcPr>
            <w:tcW w:w="1649" w:type="dxa"/>
            <w:tcBorders/>
            <w:shd w:fill="CCEEFF" w:val="clear"/>
            <w:tcMar>
              <w:bottom w:w="0" w:type="dxa"/>
            </w:tcMar>
            <w:vAlign w:val="center"/>
          </w:tcPr>
          <w:p>
            <w:pPr>
              <w:pStyle w:val="TableContents"/>
              <w:bidi w:val="0"/>
              <w:spacing w:before="0" w:after="0"/>
              <w:jc w:val="center"/>
              <w:rPr/>
            </w:pPr>
            <w:r>
              <w:rPr/>
              <w:t>75%</w:t>
            </w:r>
          </w:p>
        </w:tc>
      </w:tr>
      <w:tr>
        <w:trPr/>
        <w:tc>
          <w:tcPr>
            <w:tcW w:w="1838" w:type="dxa"/>
            <w:tcBorders/>
            <w:tcMar>
              <w:bottom w:w="0" w:type="dxa"/>
            </w:tcMar>
            <w:vAlign w:val="center"/>
          </w:tcPr>
          <w:p>
            <w:pPr>
              <w:pStyle w:val="TableContents"/>
              <w:bidi w:val="0"/>
              <w:spacing w:before="0" w:after="0"/>
              <w:jc w:val="center"/>
              <w:rPr/>
            </w:pPr>
            <w:r>
              <w:rPr/>
              <w:t>May 10, 2022</w:t>
            </w:r>
          </w:p>
        </w:tc>
        <w:tc>
          <w:tcPr>
            <w:tcW w:w="3901" w:type="dxa"/>
            <w:tcBorders/>
            <w:tcMar>
              <w:bottom w:w="0" w:type="dxa"/>
            </w:tcMar>
            <w:vAlign w:val="center"/>
          </w:tcPr>
          <w:p>
            <w:pPr>
              <w:pStyle w:val="TableContents"/>
              <w:bidi w:val="0"/>
              <w:spacing w:before="0" w:after="0"/>
              <w:jc w:val="center"/>
              <w:rPr/>
            </w:pPr>
            <w:r>
              <w:rPr/>
              <w:t>Biohaven Pharmaceutical Holding Company Ltd.</w:t>
            </w:r>
          </w:p>
        </w:tc>
        <w:tc>
          <w:tcPr>
            <w:tcW w:w="2097" w:type="dxa"/>
            <w:tcBorders/>
            <w:tcMar>
              <w:bottom w:w="0" w:type="dxa"/>
            </w:tcMar>
            <w:vAlign w:val="center"/>
          </w:tcPr>
          <w:p>
            <w:pPr>
              <w:pStyle w:val="TableContents"/>
              <w:bidi w:val="0"/>
              <w:spacing w:before="0" w:after="0"/>
              <w:jc w:val="center"/>
              <w:rPr/>
            </w:pPr>
            <w:r>
              <w:rPr/>
              <w:t>Pfizer Inc.</w:t>
            </w:r>
          </w:p>
        </w:tc>
        <w:tc>
          <w:tcPr>
            <w:tcW w:w="1649" w:type="dxa"/>
            <w:tcBorders/>
            <w:tcMar>
              <w:bottom w:w="0" w:type="dxa"/>
            </w:tcMar>
            <w:vAlign w:val="center"/>
          </w:tcPr>
          <w:p>
            <w:pPr>
              <w:pStyle w:val="TableContents"/>
              <w:bidi w:val="0"/>
              <w:spacing w:before="0" w:after="0"/>
              <w:jc w:val="center"/>
              <w:rPr/>
            </w:pPr>
            <w:r>
              <w:rPr/>
              <w:t>79%</w:t>
            </w:r>
          </w:p>
        </w:tc>
      </w:tr>
      <w:tr>
        <w:trPr/>
        <w:tc>
          <w:tcPr>
            <w:tcW w:w="1838" w:type="dxa"/>
            <w:tcBorders/>
            <w:shd w:fill="CCEEFF" w:val="clear"/>
            <w:tcMar>
              <w:bottom w:w="0" w:type="dxa"/>
            </w:tcMar>
            <w:vAlign w:val="center"/>
          </w:tcPr>
          <w:p>
            <w:pPr>
              <w:pStyle w:val="TableContents"/>
              <w:bidi w:val="0"/>
              <w:spacing w:before="0" w:after="0"/>
              <w:jc w:val="center"/>
              <w:rPr/>
            </w:pPr>
            <w:r>
              <w:rPr/>
              <w:t>December 14, 2021</w:t>
            </w:r>
          </w:p>
        </w:tc>
        <w:tc>
          <w:tcPr>
            <w:tcW w:w="3901" w:type="dxa"/>
            <w:tcBorders/>
            <w:shd w:fill="CCEEFF" w:val="clear"/>
            <w:tcMar>
              <w:bottom w:w="0" w:type="dxa"/>
            </w:tcMar>
            <w:vAlign w:val="center"/>
          </w:tcPr>
          <w:p>
            <w:pPr>
              <w:pStyle w:val="TableContents"/>
              <w:bidi w:val="0"/>
              <w:spacing w:before="0" w:after="0"/>
              <w:jc w:val="center"/>
              <w:rPr/>
            </w:pPr>
            <w:r>
              <w:rPr/>
              <w:t>Vifor Pharma Ltd.</w:t>
            </w:r>
          </w:p>
        </w:tc>
        <w:tc>
          <w:tcPr>
            <w:tcW w:w="2097" w:type="dxa"/>
            <w:tcBorders/>
            <w:shd w:fill="CCEEFF" w:val="clear"/>
            <w:tcMar>
              <w:bottom w:w="0" w:type="dxa"/>
            </w:tcMar>
            <w:vAlign w:val="center"/>
          </w:tcPr>
          <w:p>
            <w:pPr>
              <w:pStyle w:val="TableContents"/>
              <w:bidi w:val="0"/>
              <w:spacing w:before="0" w:after="0"/>
              <w:jc w:val="center"/>
              <w:rPr/>
            </w:pPr>
            <w:r>
              <w:rPr/>
              <w:t>CSL Limited</w:t>
            </w:r>
          </w:p>
        </w:tc>
        <w:tc>
          <w:tcPr>
            <w:tcW w:w="1649" w:type="dxa"/>
            <w:tcBorders/>
            <w:shd w:fill="CCEEFF" w:val="clear"/>
            <w:tcMar>
              <w:bottom w:w="0" w:type="dxa"/>
            </w:tcMar>
            <w:vAlign w:val="center"/>
          </w:tcPr>
          <w:p>
            <w:pPr>
              <w:pStyle w:val="TableContents"/>
              <w:bidi w:val="0"/>
              <w:spacing w:before="0" w:after="0"/>
              <w:jc w:val="center"/>
              <w:rPr/>
            </w:pPr>
            <w:r>
              <w:rPr/>
              <w:t>61%</w:t>
            </w:r>
          </w:p>
        </w:tc>
      </w:tr>
      <w:tr>
        <w:trPr/>
        <w:tc>
          <w:tcPr>
            <w:tcW w:w="1838" w:type="dxa"/>
            <w:tcBorders/>
            <w:tcMar>
              <w:bottom w:w="0" w:type="dxa"/>
            </w:tcMar>
            <w:vAlign w:val="center"/>
          </w:tcPr>
          <w:p>
            <w:pPr>
              <w:pStyle w:val="TableContents"/>
              <w:bidi w:val="0"/>
              <w:spacing w:before="0" w:after="0"/>
              <w:jc w:val="center"/>
              <w:rPr/>
            </w:pPr>
            <w:r>
              <w:rPr/>
              <w:t>September 30, 2021</w:t>
            </w:r>
          </w:p>
        </w:tc>
        <w:tc>
          <w:tcPr>
            <w:tcW w:w="3901" w:type="dxa"/>
            <w:tcBorders/>
            <w:tcMar>
              <w:bottom w:w="0" w:type="dxa"/>
            </w:tcMar>
            <w:vAlign w:val="center"/>
          </w:tcPr>
          <w:p>
            <w:pPr>
              <w:pStyle w:val="TableContents"/>
              <w:bidi w:val="0"/>
              <w:spacing w:before="0" w:after="0"/>
              <w:jc w:val="center"/>
              <w:rPr/>
            </w:pPr>
            <w:r>
              <w:rPr/>
              <w:t>Acceleron Pharma Inc.</w:t>
            </w:r>
          </w:p>
        </w:tc>
        <w:tc>
          <w:tcPr>
            <w:tcW w:w="2097" w:type="dxa"/>
            <w:tcBorders/>
            <w:tcMar>
              <w:bottom w:w="0" w:type="dxa"/>
            </w:tcMar>
            <w:vAlign w:val="center"/>
          </w:tcPr>
          <w:p>
            <w:pPr>
              <w:pStyle w:val="TableContents"/>
              <w:bidi w:val="0"/>
              <w:spacing w:before="0" w:after="0"/>
              <w:jc w:val="center"/>
              <w:rPr/>
            </w:pPr>
            <w:r>
              <w:rPr/>
              <w:t>Merck</w:t>
            </w:r>
          </w:p>
        </w:tc>
        <w:tc>
          <w:tcPr>
            <w:tcW w:w="1649" w:type="dxa"/>
            <w:tcBorders/>
            <w:tcMar>
              <w:bottom w:w="0" w:type="dxa"/>
            </w:tcMar>
            <w:vAlign w:val="center"/>
          </w:tcPr>
          <w:p>
            <w:pPr>
              <w:pStyle w:val="TableContents"/>
              <w:bidi w:val="0"/>
              <w:spacing w:before="0" w:after="0"/>
              <w:jc w:val="center"/>
              <w:rPr/>
            </w:pPr>
            <w:r>
              <w:rPr/>
              <w:t>36%</w:t>
            </w:r>
          </w:p>
        </w:tc>
      </w:tr>
      <w:tr>
        <w:trPr/>
        <w:tc>
          <w:tcPr>
            <w:tcW w:w="1838" w:type="dxa"/>
            <w:tcBorders/>
            <w:shd w:fill="CCEEFF" w:val="clear"/>
            <w:tcMar>
              <w:bottom w:w="0" w:type="dxa"/>
            </w:tcMar>
            <w:vAlign w:val="center"/>
          </w:tcPr>
          <w:p>
            <w:pPr>
              <w:pStyle w:val="TableContents"/>
              <w:bidi w:val="0"/>
              <w:spacing w:before="0" w:after="0"/>
              <w:jc w:val="center"/>
              <w:rPr/>
            </w:pPr>
            <w:r>
              <w:rPr/>
              <w:t>October 5, 2021</w:t>
            </w:r>
          </w:p>
        </w:tc>
        <w:tc>
          <w:tcPr>
            <w:tcW w:w="3901" w:type="dxa"/>
            <w:tcBorders/>
            <w:shd w:fill="CCEEFF" w:val="clear"/>
            <w:tcMar>
              <w:bottom w:w="0" w:type="dxa"/>
            </w:tcMar>
            <w:vAlign w:val="center"/>
          </w:tcPr>
          <w:p>
            <w:pPr>
              <w:pStyle w:val="TableContents"/>
              <w:bidi w:val="0"/>
              <w:spacing w:before="0" w:after="0"/>
              <w:jc w:val="center"/>
              <w:rPr/>
            </w:pPr>
            <w:r>
              <w:rPr/>
              <w:t>MyoKardia, Inc.</w:t>
            </w:r>
          </w:p>
        </w:tc>
        <w:tc>
          <w:tcPr>
            <w:tcW w:w="2097" w:type="dxa"/>
            <w:tcBorders/>
            <w:shd w:fill="CCEEFF" w:val="clear"/>
            <w:tcMar>
              <w:bottom w:w="0" w:type="dxa"/>
            </w:tcMar>
            <w:vAlign w:val="center"/>
          </w:tcPr>
          <w:p>
            <w:pPr>
              <w:pStyle w:val="TableContents"/>
              <w:bidi w:val="0"/>
              <w:spacing w:before="0" w:after="0"/>
              <w:jc w:val="center"/>
              <w:rPr/>
            </w:pPr>
            <w:r>
              <w:rPr/>
              <w:t>Bristol Myers Squib</w:t>
            </w:r>
          </w:p>
        </w:tc>
        <w:tc>
          <w:tcPr>
            <w:tcW w:w="1649" w:type="dxa"/>
            <w:tcBorders/>
            <w:shd w:fill="CCEEFF" w:val="clear"/>
            <w:tcMar>
              <w:bottom w:w="0" w:type="dxa"/>
            </w:tcMar>
            <w:vAlign w:val="center"/>
          </w:tcPr>
          <w:p>
            <w:pPr>
              <w:pStyle w:val="TableContents"/>
              <w:bidi w:val="0"/>
              <w:spacing w:before="0" w:after="0"/>
              <w:jc w:val="center"/>
              <w:rPr/>
            </w:pPr>
            <w:r>
              <w:rPr/>
              <w:t>61%</w:t>
            </w:r>
          </w:p>
        </w:tc>
      </w:tr>
      <w:tr>
        <w:trPr/>
        <w:tc>
          <w:tcPr>
            <w:tcW w:w="1838" w:type="dxa"/>
            <w:tcBorders/>
            <w:tcMar>
              <w:bottom w:w="0" w:type="dxa"/>
            </w:tcMar>
            <w:vAlign w:val="center"/>
          </w:tcPr>
          <w:p>
            <w:pPr>
              <w:pStyle w:val="TableContents"/>
              <w:bidi w:val="0"/>
              <w:spacing w:before="0" w:after="0"/>
              <w:jc w:val="center"/>
              <w:rPr/>
            </w:pPr>
            <w:r>
              <w:rPr/>
              <w:t>November 24, 2019</w:t>
            </w:r>
          </w:p>
        </w:tc>
        <w:tc>
          <w:tcPr>
            <w:tcW w:w="3901" w:type="dxa"/>
            <w:tcBorders/>
            <w:tcMar>
              <w:bottom w:w="0" w:type="dxa"/>
            </w:tcMar>
            <w:vAlign w:val="center"/>
          </w:tcPr>
          <w:p>
            <w:pPr>
              <w:pStyle w:val="TableContents"/>
              <w:bidi w:val="0"/>
              <w:spacing w:before="0" w:after="0"/>
              <w:jc w:val="center"/>
              <w:rPr/>
            </w:pPr>
            <w:r>
              <w:rPr/>
              <w:t>The Medicines Company</w:t>
            </w:r>
          </w:p>
        </w:tc>
        <w:tc>
          <w:tcPr>
            <w:tcW w:w="2097" w:type="dxa"/>
            <w:tcBorders/>
            <w:tcMar>
              <w:bottom w:w="0" w:type="dxa"/>
            </w:tcMar>
            <w:vAlign w:val="center"/>
          </w:tcPr>
          <w:p>
            <w:pPr>
              <w:pStyle w:val="TableContents"/>
              <w:bidi w:val="0"/>
              <w:spacing w:before="0" w:after="0"/>
              <w:jc w:val="center"/>
              <w:rPr/>
            </w:pPr>
            <w:r>
              <w:rPr/>
              <w:t>Novartis</w:t>
            </w:r>
          </w:p>
        </w:tc>
        <w:tc>
          <w:tcPr>
            <w:tcW w:w="1649" w:type="dxa"/>
            <w:tcBorders/>
            <w:tcMar>
              <w:bottom w:w="0" w:type="dxa"/>
            </w:tcMar>
            <w:vAlign w:val="center"/>
          </w:tcPr>
          <w:p>
            <w:pPr>
              <w:pStyle w:val="TableContents"/>
              <w:bidi w:val="0"/>
              <w:spacing w:before="0" w:after="0"/>
              <w:jc w:val="center"/>
              <w:rPr/>
            </w:pPr>
            <w:r>
              <w:rPr/>
              <w:t>45%</w:t>
            </w:r>
          </w:p>
        </w:tc>
      </w:tr>
      <w:tr>
        <w:trPr/>
        <w:tc>
          <w:tcPr>
            <w:tcW w:w="1838" w:type="dxa"/>
            <w:tcBorders/>
            <w:shd w:fill="CCEEFF" w:val="clear"/>
            <w:tcMar>
              <w:bottom w:w="0" w:type="dxa"/>
            </w:tcMar>
            <w:vAlign w:val="center"/>
          </w:tcPr>
          <w:p>
            <w:pPr>
              <w:pStyle w:val="TableContents"/>
              <w:bidi w:val="0"/>
              <w:spacing w:before="0" w:after="0"/>
              <w:jc w:val="center"/>
              <w:rPr/>
            </w:pPr>
            <w:r>
              <w:rPr/>
              <w:t>June 17, 2019</w:t>
            </w:r>
          </w:p>
        </w:tc>
        <w:tc>
          <w:tcPr>
            <w:tcW w:w="3901" w:type="dxa"/>
            <w:tcBorders/>
            <w:shd w:fill="CCEEFF" w:val="clear"/>
            <w:tcMar>
              <w:bottom w:w="0" w:type="dxa"/>
            </w:tcMar>
            <w:vAlign w:val="center"/>
          </w:tcPr>
          <w:p>
            <w:pPr>
              <w:pStyle w:val="TableContents"/>
              <w:bidi w:val="0"/>
              <w:spacing w:before="0" w:after="0"/>
              <w:jc w:val="center"/>
              <w:rPr/>
            </w:pPr>
            <w:r>
              <w:rPr/>
              <w:t>Array BioPharma Inc.</w:t>
            </w:r>
          </w:p>
        </w:tc>
        <w:tc>
          <w:tcPr>
            <w:tcW w:w="2097" w:type="dxa"/>
            <w:tcBorders/>
            <w:shd w:fill="CCEEFF" w:val="clear"/>
            <w:tcMar>
              <w:bottom w:w="0" w:type="dxa"/>
            </w:tcMar>
            <w:vAlign w:val="center"/>
          </w:tcPr>
          <w:p>
            <w:pPr>
              <w:pStyle w:val="TableContents"/>
              <w:bidi w:val="0"/>
              <w:spacing w:before="0" w:after="0"/>
              <w:jc w:val="center"/>
              <w:rPr/>
            </w:pPr>
            <w:r>
              <w:rPr/>
              <w:t>Pfizer Inc.</w:t>
            </w:r>
          </w:p>
        </w:tc>
        <w:tc>
          <w:tcPr>
            <w:tcW w:w="1649" w:type="dxa"/>
            <w:tcBorders/>
            <w:shd w:fill="CCEEFF" w:val="clear"/>
            <w:tcMar>
              <w:bottom w:w="0" w:type="dxa"/>
            </w:tcMar>
            <w:vAlign w:val="center"/>
          </w:tcPr>
          <w:p>
            <w:pPr>
              <w:pStyle w:val="TableContents"/>
              <w:bidi w:val="0"/>
              <w:spacing w:before="0" w:after="0"/>
              <w:jc w:val="center"/>
              <w:rPr/>
            </w:pPr>
            <w:r>
              <w:rPr/>
              <w:t>62%</w:t>
            </w:r>
          </w:p>
        </w:tc>
      </w:tr>
    </w:tbl>
    <w:p>
      <w:pPr>
        <w:pStyle w:val="TextBody"/>
        <w:bidi w:val="0"/>
        <w:spacing w:before="0" w:after="0"/>
        <w:ind w:left="720" w:right="0" w:hanging="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Opinion of Jefferies LLC</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Selected Precedent Transactions Analysis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Merger—Opinion of Apogee’s Financial Advisors—Opinion of Jefferies LLC—Selected Precedent Transactions Analysis” </w:t>
      </w:r>
      <w:r>
        <w:rPr>
          <w:rFonts w:ascii="Times New Roman" w:hAnsi="Times New Roman"/>
          <w:i/>
          <w:color w:val="000000"/>
          <w:sz w:val="20"/>
        </w:rPr>
        <w:t>is hereby amended by adding the following language and chart before the last paragraph beginning on page 51 of the Definitive Proxy Statement: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selected transactions and the financial data reviewed included the following: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center"/>
        <w:rPr>
          <w:rFonts w:ascii="Times New Roman" w:hAnsi="Times New Roman"/>
          <w:b/>
          <w:color w:val="000000"/>
          <w:sz w:val="20"/>
        </w:rPr>
      </w:pPr>
      <w:r>
        <w:rPr>
          <w:rFonts w:ascii="Times New Roman" w:hAnsi="Times New Roman"/>
          <w:b/>
          <w:color w:val="000000"/>
          <w:sz w:val="20"/>
        </w:rPr>
        <w:t>Selected Transactions Analysis</w:t>
      </w:r>
    </w:p>
    <w:p>
      <w:pPr>
        <w:pStyle w:val="TextBody"/>
        <w:bidi w:val="0"/>
        <w:spacing w:before="0" w:after="0"/>
        <w:jc w:val="left"/>
        <w:rPr/>
      </w:pPr>
      <w:r>
        <w:rPr/>
      </w:r>
    </w:p>
    <w:p>
      <w:pPr>
        <w:pStyle w:val="Normal"/>
        <w:bidi w:val="0"/>
        <w:spacing w:before="0" w:after="0"/>
        <w:ind w:left="720" w:right="0" w:hanging="0"/>
        <w:jc w:val="left"/>
        <w:rPr>
          <w:sz w:val="4"/>
          <w:szCs w:val="4"/>
        </w:rPr>
      </w:pPr>
      <w:r>
        <w:rPr>
          <w:sz w:val="4"/>
          <w:szCs w:val="4"/>
        </w:rPr>
      </w:r>
      <w:bookmarkStart w:id="46" w:name="zbf1c640f3ec44f52a85bbf96c1d212f8"/>
      <w:bookmarkStart w:id="47" w:name="zbf1c640f3ec44f52a85bbf96c1d212f8"/>
      <w:bookmarkEnd w:id="47"/>
    </w:p>
    <w:tbl>
      <w:tblPr>
        <w:tblW w:w="8990" w:type="dxa"/>
        <w:jc w:val="left"/>
        <w:tblInd w:w="720" w:type="dxa"/>
        <w:tblLayout w:type="fixed"/>
        <w:tblCellMar>
          <w:top w:w="0" w:type="dxa"/>
          <w:left w:w="0" w:type="dxa"/>
          <w:bottom w:w="28" w:type="dxa"/>
          <w:right w:w="0" w:type="dxa"/>
        </w:tblCellMar>
      </w:tblPr>
      <w:tblGrid>
        <w:gridCol w:w="1295"/>
        <w:gridCol w:w="2990"/>
        <w:gridCol w:w="2675"/>
        <w:gridCol w:w="2030"/>
      </w:tblGrid>
      <w:tr>
        <w:trPr/>
        <w:tc>
          <w:tcPr>
            <w:tcW w:w="1295" w:type="dxa"/>
            <w:tcBorders>
              <w:bottom w:val="single" w:sz="12" w:space="0" w:color="000000"/>
            </w:tcBorders>
            <w:vAlign w:val="center"/>
          </w:tcPr>
          <w:p>
            <w:pPr>
              <w:pStyle w:val="TableContents"/>
              <w:bidi w:val="0"/>
              <w:spacing w:before="0" w:after="0"/>
              <w:jc w:val="center"/>
              <w:rPr>
                <w:b/>
              </w:rPr>
            </w:pPr>
            <w:r>
              <w:rPr>
                <w:b/>
              </w:rPr>
              <w:t>Announced</w:t>
            </w:r>
          </w:p>
        </w:tc>
        <w:tc>
          <w:tcPr>
            <w:tcW w:w="2990" w:type="dxa"/>
            <w:tcBorders>
              <w:bottom w:val="single" w:sz="12" w:space="0" w:color="000000"/>
            </w:tcBorders>
            <w:vAlign w:val="center"/>
          </w:tcPr>
          <w:p>
            <w:pPr>
              <w:pStyle w:val="TableContents"/>
              <w:bidi w:val="0"/>
              <w:spacing w:before="0" w:after="0"/>
              <w:jc w:val="center"/>
              <w:rPr>
                <w:b/>
              </w:rPr>
            </w:pPr>
            <w:r>
              <w:rPr>
                <w:b/>
              </w:rPr>
              <w:t>Target</w:t>
            </w:r>
          </w:p>
        </w:tc>
        <w:tc>
          <w:tcPr>
            <w:tcW w:w="2675" w:type="dxa"/>
            <w:tcBorders>
              <w:bottom w:val="single" w:sz="12" w:space="0" w:color="000000"/>
            </w:tcBorders>
            <w:vAlign w:val="center"/>
          </w:tcPr>
          <w:p>
            <w:pPr>
              <w:pStyle w:val="TableContents"/>
              <w:bidi w:val="0"/>
              <w:spacing w:before="0" w:after="0"/>
              <w:jc w:val="center"/>
              <w:rPr>
                <w:b/>
              </w:rPr>
            </w:pPr>
            <w:r>
              <w:rPr>
                <w:b/>
              </w:rPr>
              <w:t>Acquiror</w:t>
            </w:r>
          </w:p>
        </w:tc>
        <w:tc>
          <w:tcPr>
            <w:tcW w:w="2030" w:type="dxa"/>
            <w:tcBorders>
              <w:bottom w:val="single" w:sz="12" w:space="0" w:color="000000"/>
            </w:tcBorders>
            <w:vAlign w:val="center"/>
          </w:tcPr>
          <w:p>
            <w:pPr>
              <w:pStyle w:val="TableContents"/>
              <w:bidi w:val="0"/>
              <w:spacing w:before="0" w:after="0"/>
              <w:jc w:val="center"/>
              <w:rPr>
                <w:b/>
              </w:rPr>
            </w:pPr>
            <w:r>
              <w:rPr>
                <w:b/>
              </w:rPr>
              <w:t>Transaction Value /</w:t>
            </w:r>
          </w:p>
          <w:p>
            <w:pPr>
              <w:pStyle w:val="TableContents"/>
              <w:bidi w:val="0"/>
              <w:spacing w:before="0" w:after="0"/>
              <w:jc w:val="center"/>
              <w:rPr>
                <w:b/>
              </w:rPr>
            </w:pPr>
            <w:r>
              <w:rPr>
                <w:b/>
              </w:rPr>
              <w:t>Peak Revenue (x)</w:t>
            </w:r>
          </w:p>
        </w:tc>
      </w:tr>
      <w:tr>
        <w:trPr/>
        <w:tc>
          <w:tcPr>
            <w:tcW w:w="1295" w:type="dxa"/>
            <w:tcBorders/>
            <w:shd w:fill="CCEDFF" w:val="clear"/>
            <w:tcMar>
              <w:bottom w:w="0" w:type="dxa"/>
            </w:tcMar>
            <w:vAlign w:val="center"/>
          </w:tcPr>
          <w:p>
            <w:pPr>
              <w:pStyle w:val="TableContents"/>
              <w:bidi w:val="0"/>
              <w:spacing w:before="0" w:after="0"/>
              <w:jc w:val="center"/>
              <w:rPr/>
            </w:pPr>
            <w:r>
              <w:rPr/>
              <w:t>January 2026</w:t>
            </w:r>
          </w:p>
        </w:tc>
        <w:tc>
          <w:tcPr>
            <w:tcW w:w="2990" w:type="dxa"/>
            <w:tcBorders/>
            <w:shd w:fill="CCEDFF" w:val="clear"/>
            <w:tcMar>
              <w:bottom w:w="0" w:type="dxa"/>
            </w:tcMar>
            <w:vAlign w:val="center"/>
          </w:tcPr>
          <w:p>
            <w:pPr>
              <w:pStyle w:val="TableContents"/>
              <w:bidi w:val="0"/>
              <w:spacing w:before="0" w:after="0"/>
              <w:jc w:val="center"/>
              <w:rPr/>
            </w:pPr>
            <w:r>
              <w:rPr/>
              <w:t>RAPT Therapeutics, Inc.</w:t>
            </w:r>
          </w:p>
        </w:tc>
        <w:tc>
          <w:tcPr>
            <w:tcW w:w="2675" w:type="dxa"/>
            <w:tcBorders/>
            <w:shd w:fill="CCEDFF" w:val="clear"/>
            <w:tcMar>
              <w:bottom w:w="0" w:type="dxa"/>
            </w:tcMar>
            <w:vAlign w:val="center"/>
          </w:tcPr>
          <w:p>
            <w:pPr>
              <w:pStyle w:val="TableContents"/>
              <w:bidi w:val="0"/>
              <w:spacing w:before="0" w:after="0"/>
              <w:jc w:val="center"/>
              <w:rPr/>
            </w:pPr>
            <w:r>
              <w:rPr/>
              <w:t>GSK plc</w:t>
            </w:r>
          </w:p>
        </w:tc>
        <w:tc>
          <w:tcPr>
            <w:tcW w:w="2030" w:type="dxa"/>
            <w:tcBorders/>
            <w:shd w:fill="CCEDFF" w:val="clear"/>
            <w:tcMar>
              <w:bottom w:w="0" w:type="dxa"/>
            </w:tcMar>
            <w:vAlign w:val="center"/>
          </w:tcPr>
          <w:p>
            <w:pPr>
              <w:pStyle w:val="TableContents"/>
              <w:bidi w:val="0"/>
              <w:spacing w:before="0" w:after="0"/>
              <w:jc w:val="center"/>
              <w:rPr/>
            </w:pPr>
            <w:r>
              <w:rPr/>
              <w:t>0.2x</w:t>
            </w:r>
          </w:p>
        </w:tc>
      </w:tr>
      <w:tr>
        <w:trPr/>
        <w:tc>
          <w:tcPr>
            <w:tcW w:w="1295" w:type="dxa"/>
            <w:tcBorders/>
            <w:tcMar>
              <w:bottom w:w="0" w:type="dxa"/>
            </w:tcMar>
            <w:vAlign w:val="center"/>
          </w:tcPr>
          <w:p>
            <w:pPr>
              <w:pStyle w:val="TableContents"/>
              <w:bidi w:val="0"/>
              <w:spacing w:before="0" w:after="0"/>
              <w:jc w:val="center"/>
              <w:rPr/>
            </w:pPr>
            <w:r>
              <w:rPr/>
              <w:t>July 2024</w:t>
            </w:r>
          </w:p>
        </w:tc>
        <w:tc>
          <w:tcPr>
            <w:tcW w:w="2990" w:type="dxa"/>
            <w:tcBorders/>
            <w:tcMar>
              <w:bottom w:w="0" w:type="dxa"/>
            </w:tcMar>
            <w:vAlign w:val="center"/>
          </w:tcPr>
          <w:p>
            <w:pPr>
              <w:pStyle w:val="TableContents"/>
              <w:bidi w:val="0"/>
              <w:spacing w:before="0" w:after="0"/>
              <w:jc w:val="center"/>
              <w:rPr/>
            </w:pPr>
            <w:r>
              <w:rPr/>
              <w:t>Morphic Holding, Inc.</w:t>
            </w:r>
          </w:p>
        </w:tc>
        <w:tc>
          <w:tcPr>
            <w:tcW w:w="2675" w:type="dxa"/>
            <w:tcBorders/>
            <w:tcMar>
              <w:bottom w:w="0" w:type="dxa"/>
            </w:tcMar>
            <w:vAlign w:val="center"/>
          </w:tcPr>
          <w:p>
            <w:pPr>
              <w:pStyle w:val="TableContents"/>
              <w:bidi w:val="0"/>
              <w:spacing w:before="0" w:after="0"/>
              <w:jc w:val="center"/>
              <w:rPr/>
            </w:pPr>
            <w:r>
              <w:rPr/>
              <w:t>Eli Lilly &amp; Co</w:t>
            </w:r>
          </w:p>
        </w:tc>
        <w:tc>
          <w:tcPr>
            <w:tcW w:w="2030" w:type="dxa"/>
            <w:tcBorders/>
            <w:tcMar>
              <w:bottom w:w="0" w:type="dxa"/>
            </w:tcMar>
            <w:vAlign w:val="center"/>
          </w:tcPr>
          <w:p>
            <w:pPr>
              <w:pStyle w:val="TableContents"/>
              <w:bidi w:val="0"/>
              <w:spacing w:before="0" w:after="0"/>
              <w:jc w:val="center"/>
              <w:rPr/>
            </w:pPr>
            <w:r>
              <w:rPr/>
              <w:t>0.9x</w:t>
            </w:r>
          </w:p>
        </w:tc>
      </w:tr>
      <w:tr>
        <w:trPr/>
        <w:tc>
          <w:tcPr>
            <w:tcW w:w="1295" w:type="dxa"/>
            <w:tcBorders/>
            <w:shd w:fill="CCEDFF" w:val="clear"/>
            <w:tcMar>
              <w:bottom w:w="0" w:type="dxa"/>
            </w:tcMar>
            <w:vAlign w:val="center"/>
          </w:tcPr>
          <w:p>
            <w:pPr>
              <w:pStyle w:val="TableContents"/>
              <w:bidi w:val="0"/>
              <w:spacing w:before="0" w:after="0"/>
              <w:jc w:val="center"/>
              <w:rPr/>
            </w:pPr>
            <w:r>
              <w:rPr/>
              <w:t>April 2024</w:t>
            </w:r>
          </w:p>
        </w:tc>
        <w:tc>
          <w:tcPr>
            <w:tcW w:w="2990" w:type="dxa"/>
            <w:tcBorders/>
            <w:shd w:fill="CCEDFF" w:val="clear"/>
            <w:tcMar>
              <w:bottom w:w="0" w:type="dxa"/>
            </w:tcMar>
            <w:vAlign w:val="center"/>
          </w:tcPr>
          <w:p>
            <w:pPr>
              <w:pStyle w:val="TableContents"/>
              <w:bidi w:val="0"/>
              <w:spacing w:before="0" w:after="0"/>
              <w:jc w:val="center"/>
              <w:rPr/>
            </w:pPr>
            <w:r>
              <w:rPr/>
              <w:t>Alpine Immune Sciences, Inc.</w:t>
            </w:r>
          </w:p>
        </w:tc>
        <w:tc>
          <w:tcPr>
            <w:tcW w:w="2675" w:type="dxa"/>
            <w:tcBorders/>
            <w:shd w:fill="CCEDFF" w:val="clear"/>
            <w:tcMar>
              <w:bottom w:w="0" w:type="dxa"/>
            </w:tcMar>
            <w:vAlign w:val="center"/>
          </w:tcPr>
          <w:p>
            <w:pPr>
              <w:pStyle w:val="TableContents"/>
              <w:bidi w:val="0"/>
              <w:spacing w:before="0" w:after="0"/>
              <w:jc w:val="center"/>
              <w:rPr/>
            </w:pPr>
            <w:r>
              <w:rPr/>
              <w:t>Vertex Pharmaceuticals Inc.</w:t>
            </w:r>
          </w:p>
        </w:tc>
        <w:tc>
          <w:tcPr>
            <w:tcW w:w="2030" w:type="dxa"/>
            <w:tcBorders/>
            <w:shd w:fill="CCEDFF" w:val="clear"/>
            <w:tcMar>
              <w:bottom w:w="0" w:type="dxa"/>
            </w:tcMar>
            <w:vAlign w:val="center"/>
          </w:tcPr>
          <w:p>
            <w:pPr>
              <w:pStyle w:val="TableContents"/>
              <w:bidi w:val="0"/>
              <w:spacing w:before="0" w:after="0"/>
              <w:jc w:val="center"/>
              <w:rPr/>
            </w:pPr>
            <w:r>
              <w:rPr/>
              <w:t>0.9x</w:t>
            </w:r>
          </w:p>
        </w:tc>
      </w:tr>
      <w:tr>
        <w:trPr/>
        <w:tc>
          <w:tcPr>
            <w:tcW w:w="1295" w:type="dxa"/>
            <w:tcBorders/>
            <w:tcMar>
              <w:bottom w:w="0" w:type="dxa"/>
            </w:tcMar>
            <w:vAlign w:val="center"/>
          </w:tcPr>
          <w:p>
            <w:pPr>
              <w:pStyle w:val="TableContents"/>
              <w:bidi w:val="0"/>
              <w:spacing w:before="0" w:after="0"/>
              <w:jc w:val="center"/>
              <w:rPr/>
            </w:pPr>
            <w:r>
              <w:rPr/>
              <w:t>June 2023</w:t>
            </w:r>
          </w:p>
        </w:tc>
        <w:tc>
          <w:tcPr>
            <w:tcW w:w="2990" w:type="dxa"/>
            <w:tcBorders/>
            <w:tcMar>
              <w:bottom w:w="0" w:type="dxa"/>
            </w:tcMar>
            <w:vAlign w:val="center"/>
          </w:tcPr>
          <w:p>
            <w:pPr>
              <w:pStyle w:val="TableContents"/>
              <w:bidi w:val="0"/>
              <w:spacing w:before="0" w:after="0"/>
              <w:jc w:val="center"/>
              <w:rPr/>
            </w:pPr>
            <w:r>
              <w:rPr/>
              <w:t>DICE Therapeutics, Inc.</w:t>
            </w:r>
          </w:p>
        </w:tc>
        <w:tc>
          <w:tcPr>
            <w:tcW w:w="2675" w:type="dxa"/>
            <w:tcBorders/>
            <w:tcMar>
              <w:bottom w:w="0" w:type="dxa"/>
            </w:tcMar>
            <w:vAlign w:val="center"/>
          </w:tcPr>
          <w:p>
            <w:pPr>
              <w:pStyle w:val="TableContents"/>
              <w:bidi w:val="0"/>
              <w:spacing w:before="0" w:after="0"/>
              <w:jc w:val="center"/>
              <w:rPr/>
            </w:pPr>
            <w:r>
              <w:rPr/>
              <w:t>Eli Lilly &amp; Co</w:t>
            </w:r>
          </w:p>
        </w:tc>
        <w:tc>
          <w:tcPr>
            <w:tcW w:w="2030" w:type="dxa"/>
            <w:tcBorders/>
            <w:tcMar>
              <w:bottom w:w="0" w:type="dxa"/>
            </w:tcMar>
            <w:vAlign w:val="center"/>
          </w:tcPr>
          <w:p>
            <w:pPr>
              <w:pStyle w:val="TableContents"/>
              <w:bidi w:val="0"/>
              <w:spacing w:before="0" w:after="0"/>
              <w:jc w:val="center"/>
              <w:rPr/>
            </w:pPr>
            <w:r>
              <w:rPr/>
              <w:t>1.0x</w:t>
            </w:r>
          </w:p>
        </w:tc>
      </w:tr>
      <w:tr>
        <w:trPr/>
        <w:tc>
          <w:tcPr>
            <w:tcW w:w="1295" w:type="dxa"/>
            <w:tcBorders/>
            <w:shd w:fill="CCEDFF" w:val="clear"/>
            <w:tcMar>
              <w:bottom w:w="0" w:type="dxa"/>
            </w:tcMar>
            <w:vAlign w:val="center"/>
          </w:tcPr>
          <w:p>
            <w:pPr>
              <w:pStyle w:val="TableContents"/>
              <w:bidi w:val="0"/>
              <w:spacing w:before="0" w:after="0"/>
              <w:jc w:val="center"/>
              <w:rPr/>
            </w:pPr>
            <w:r>
              <w:rPr/>
              <w:t>April 2023</w:t>
            </w:r>
          </w:p>
        </w:tc>
        <w:tc>
          <w:tcPr>
            <w:tcW w:w="2990" w:type="dxa"/>
            <w:tcBorders/>
            <w:shd w:fill="CCEDFF" w:val="clear"/>
            <w:tcMar>
              <w:bottom w:w="0" w:type="dxa"/>
            </w:tcMar>
            <w:vAlign w:val="center"/>
          </w:tcPr>
          <w:p>
            <w:pPr>
              <w:pStyle w:val="TableContents"/>
              <w:bidi w:val="0"/>
              <w:spacing w:before="0" w:after="0"/>
              <w:jc w:val="center"/>
              <w:rPr/>
            </w:pPr>
            <w:r>
              <w:rPr/>
              <w:t>Prometheus Biosciences, Inc.</w:t>
            </w:r>
          </w:p>
        </w:tc>
        <w:tc>
          <w:tcPr>
            <w:tcW w:w="2675" w:type="dxa"/>
            <w:tcBorders/>
            <w:shd w:fill="CCEDFF" w:val="clear"/>
            <w:tcMar>
              <w:bottom w:w="0" w:type="dxa"/>
            </w:tcMar>
            <w:vAlign w:val="center"/>
          </w:tcPr>
          <w:p>
            <w:pPr>
              <w:pStyle w:val="TableContents"/>
              <w:bidi w:val="0"/>
              <w:spacing w:before="0" w:after="0"/>
              <w:jc w:val="center"/>
              <w:rPr/>
            </w:pPr>
            <w:r>
              <w:rPr/>
              <w:t>Merck &amp; Co., Inc.</w:t>
            </w:r>
          </w:p>
        </w:tc>
        <w:tc>
          <w:tcPr>
            <w:tcW w:w="2030" w:type="dxa"/>
            <w:tcBorders/>
            <w:shd w:fill="CCEDFF" w:val="clear"/>
            <w:tcMar>
              <w:bottom w:w="0" w:type="dxa"/>
            </w:tcMar>
            <w:vAlign w:val="center"/>
          </w:tcPr>
          <w:p>
            <w:pPr>
              <w:pStyle w:val="TableContents"/>
              <w:bidi w:val="0"/>
              <w:spacing w:before="0" w:after="0"/>
              <w:jc w:val="center"/>
              <w:rPr/>
            </w:pPr>
            <w:r>
              <w:rPr/>
              <w:t>1.2x</w:t>
            </w:r>
          </w:p>
        </w:tc>
      </w:tr>
      <w:tr>
        <w:trPr/>
        <w:tc>
          <w:tcPr>
            <w:tcW w:w="1295" w:type="dxa"/>
            <w:tcBorders/>
            <w:tcMar>
              <w:bottom w:w="0" w:type="dxa"/>
            </w:tcMar>
            <w:vAlign w:val="center"/>
          </w:tcPr>
          <w:p>
            <w:pPr>
              <w:pStyle w:val="TableContents"/>
              <w:bidi w:val="0"/>
              <w:spacing w:before="0" w:after="0"/>
              <w:jc w:val="center"/>
              <w:rPr/>
            </w:pPr>
            <w:r>
              <w:rPr/>
              <w:t>August 2020</w:t>
            </w:r>
          </w:p>
        </w:tc>
        <w:tc>
          <w:tcPr>
            <w:tcW w:w="2990" w:type="dxa"/>
            <w:tcBorders/>
            <w:tcMar>
              <w:bottom w:w="0" w:type="dxa"/>
            </w:tcMar>
            <w:vAlign w:val="center"/>
          </w:tcPr>
          <w:p>
            <w:pPr>
              <w:pStyle w:val="TableContents"/>
              <w:bidi w:val="0"/>
              <w:spacing w:before="0" w:after="0"/>
              <w:jc w:val="center"/>
              <w:rPr/>
            </w:pPr>
            <w:r>
              <w:rPr/>
              <w:t>Momenta Pharmaceuticals, Inc.</w:t>
            </w:r>
          </w:p>
        </w:tc>
        <w:tc>
          <w:tcPr>
            <w:tcW w:w="2675" w:type="dxa"/>
            <w:tcBorders/>
            <w:tcMar>
              <w:bottom w:w="0" w:type="dxa"/>
            </w:tcMar>
            <w:vAlign w:val="center"/>
          </w:tcPr>
          <w:p>
            <w:pPr>
              <w:pStyle w:val="TableContents"/>
              <w:bidi w:val="0"/>
              <w:spacing w:before="0" w:after="0"/>
              <w:jc w:val="center"/>
              <w:rPr/>
            </w:pPr>
            <w:r>
              <w:rPr/>
              <w:t>Johnson &amp; Johnson</w:t>
            </w:r>
          </w:p>
        </w:tc>
        <w:tc>
          <w:tcPr>
            <w:tcW w:w="2030" w:type="dxa"/>
            <w:tcBorders/>
            <w:tcMar>
              <w:bottom w:w="0" w:type="dxa"/>
            </w:tcMar>
            <w:vAlign w:val="center"/>
          </w:tcPr>
          <w:p>
            <w:pPr>
              <w:pStyle w:val="TableContents"/>
              <w:bidi w:val="0"/>
              <w:spacing w:before="0" w:after="0"/>
              <w:jc w:val="center"/>
              <w:rPr/>
            </w:pPr>
            <w:r>
              <w:rPr/>
              <w:t>3.0x</w:t>
            </w:r>
          </w:p>
        </w:tc>
      </w:tr>
    </w:tbl>
    <w:p>
      <w:pPr>
        <w:pStyle w:val="TextBody"/>
        <w:bidi w:val="0"/>
        <w:spacing w:before="0" w:after="0"/>
        <w:ind w:left="720" w:right="0" w:hanging="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Merger—Opinion of Apogee’s Financial Advisors—Opinion of Jefferies LLC—Selected Precedent Transactions Analysis” </w:t>
      </w:r>
      <w:r>
        <w:rPr>
          <w:rFonts w:ascii="Times New Roman" w:hAnsi="Times New Roman"/>
          <w:i/>
          <w:color w:val="000000"/>
          <w:sz w:val="20"/>
        </w:rPr>
        <w:t>is hereby amended by deleting the following strikethrough language from the last paragraph beginning on page 51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strike/>
          <w:color w:val="000000"/>
          <w:sz w:val="20"/>
        </w:rPr>
        <w:t>The overall low to high peak estimated revenue multiples observed for the selected transactions were 0.2x to 3.0x (with a median of 1.0x).</w:t>
      </w:r>
      <w:r>
        <w:rPr>
          <w:rFonts w:ascii="Times New Roman" w:hAnsi="Times New Roman"/>
          <w:color w:val="000000"/>
          <w:sz w:val="20"/>
        </w:rPr>
        <w:t xml:space="preserve"> Jefferies then applied a selected range of peak estimated revenue multiples derived from the selected transactions of 0.9x to 1.2x to Apogee’s total risk-adjusted peak estimated revenue for calendar year 2038. This analysis indicated an approximate implied equity value reference range per share of our common stock of $117.65 to $151.35, as compared to the Merger Consideration of $135.11 per share of our common stock payable in the Merger.</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Discounted Cash Flow Analysis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Merger—Opinion of Apogee’s Financial Advisors—Opinion of Jefferies LLC—Discounted Cash Flow Analysis” </w:t>
      </w:r>
      <w:r>
        <w:rPr>
          <w:rFonts w:ascii="Times New Roman" w:hAnsi="Times New Roman"/>
          <w:i/>
          <w:color w:val="000000"/>
          <w:sz w:val="20"/>
        </w:rPr>
        <w:t>is hereby amended by deleting the following strikethrough language from and adding the following bolded and double underlined language to the third full paragraph on page 52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 xml:space="preserve">The net present value (as of March 31, 2026) of the risk-adjusted unlevered free cash flows and illustrative terminal value of Apogee was then calculated using a selected discount rate range of 12.0% to 14.0% (reflecting Jefferies’ estimate of Apogee’s weighted average cost of capital) and </w:t>
      </w:r>
      <w:r>
        <w:rPr>
          <w:rFonts w:ascii="Times New Roman" w:hAnsi="Times New Roman"/>
          <w:b/>
          <w:color w:val="000000"/>
          <w:sz w:val="20"/>
          <w:u w:val="single"/>
          <w:bdr w:val="single" w:sz="2" w:space="1" w:color="000000"/>
        </w:rPr>
        <w:t>75.469 million shares of our common stock outstanding, 6.721 million outstanding Company Options with an average strike price of $46.16, 0.366 million outstanding Company Warrants with a strike price of $0.00001, 0.350 million Company Restricted Stock Units, and 0.018 million shares of our common stock reserved for issuance under the Apogee ESPP per our management as of June 15, 2026,</w:t>
      </w:r>
      <w:r>
        <w:rPr>
          <w:rFonts w:ascii="Times New Roman" w:hAnsi="Times New Roman"/>
          <w:color w:val="000000"/>
          <w:sz w:val="20"/>
        </w:rPr>
        <w:t> </w:t>
      </w:r>
      <w:r>
        <w:rPr>
          <w:rFonts w:ascii="Times New Roman" w:hAnsi="Times New Roman"/>
          <w:strike/>
          <w:color w:val="000000"/>
          <w:sz w:val="20"/>
        </w:rPr>
        <w:t>assuming the number of fully-diluted shares of our common stock outstanding</w:t>
      </w:r>
      <w:r>
        <w:rPr>
          <w:rFonts w:ascii="Times New Roman" w:hAnsi="Times New Roman"/>
          <w:color w:val="000000"/>
          <w:sz w:val="20"/>
        </w:rPr>
        <w:t xml:space="preserve"> calculated using the treasury stock method.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rPr>
      </w:pPr>
      <w:r>
        <w:rPr>
          <w:rFonts w:ascii="Times New Roman" w:hAnsi="Times New Roman"/>
          <w:b/>
          <w:color w:val="000000"/>
          <w:sz w:val="20"/>
          <w:u w:val="single"/>
        </w:rPr>
        <w:t>Certain Financial Projections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Management Projections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March 2025 Financing Sales Outlook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Merger—Certain Financial Projections—Management Projections—March 2025 Financing Sales Outlook” </w:t>
      </w:r>
      <w:r>
        <w:rPr>
          <w:rFonts w:ascii="Times New Roman" w:hAnsi="Times New Roman"/>
          <w:i/>
          <w:color w:val="000000"/>
          <w:sz w:val="20"/>
        </w:rPr>
        <w:t>is hereby amended by adding the following bolded and double underlined language to the fifth paragraph on page 54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material assumptions of the March 2025 Financing Sales Outlook included, among other things, commercial launch of zumilokibart for atopic dermatitis in 2029</w:t>
      </w:r>
      <w:r>
        <w:rPr>
          <w:rFonts w:ascii="Times New Roman" w:hAnsi="Times New Roman"/>
          <w:b/>
          <w:color w:val="000000"/>
          <w:sz w:val="20"/>
          <w:u w:val="single"/>
          <w:bdr w:val="single" w:sz="2" w:space="1" w:color="000000"/>
        </w:rPr>
        <w:t>, with an 80% probability of success</w:t>
      </w:r>
      <w:r>
        <w:rPr>
          <w:rFonts w:ascii="Times New Roman" w:hAnsi="Times New Roman"/>
          <w:color w:val="000000"/>
          <w:sz w:val="20"/>
        </w:rPr>
        <w:t>, for eosinophilic esophagitis in 2031</w:t>
      </w:r>
      <w:r>
        <w:rPr>
          <w:rFonts w:ascii="Times New Roman" w:hAnsi="Times New Roman"/>
          <w:b/>
          <w:color w:val="000000"/>
          <w:sz w:val="20"/>
          <w:u w:val="single"/>
          <w:bdr w:val="single" w:sz="2" w:space="1" w:color="000000"/>
        </w:rPr>
        <w:t xml:space="preserve">, with a 30% probability of success, </w:t>
      </w:r>
      <w:r>
        <w:rPr>
          <w:rFonts w:ascii="Times New Roman" w:hAnsi="Times New Roman"/>
          <w:color w:val="000000"/>
          <w:sz w:val="20"/>
        </w:rPr>
        <w:t>and for asthma in 2032</w:t>
      </w:r>
      <w:r>
        <w:rPr>
          <w:rFonts w:ascii="Times New Roman" w:hAnsi="Times New Roman"/>
          <w:b/>
          <w:color w:val="000000"/>
          <w:sz w:val="20"/>
          <w:u w:val="single"/>
          <w:bdr w:val="single" w:sz="2" w:space="1" w:color="000000"/>
        </w:rPr>
        <w:t>, with a 45% probability of success, commercial launch of APG279 in 2036, with a 30% probability of success,</w:t>
      </w:r>
      <w:r>
        <w:rPr>
          <w:rFonts w:ascii="Times New Roman" w:hAnsi="Times New Roman"/>
          <w:color w:val="000000"/>
          <w:sz w:val="20"/>
        </w:rPr>
        <w:t xml:space="preserve"> and modest impact on market penetration resulting from the entry of biosimilars into the market in 2037. We did not obtain any royalty financing in 2025.</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May 2026 Financing Sales Outlook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Merger—Certain Financial Projections— Management Projections—May 2026 Financing Sales Outlook” </w:t>
      </w:r>
      <w:r>
        <w:rPr>
          <w:rFonts w:ascii="Times New Roman" w:hAnsi="Times New Roman"/>
          <w:i/>
          <w:color w:val="000000"/>
          <w:sz w:val="20"/>
        </w:rPr>
        <w:t>is hereby amended by adding the following bolded and double underlined language to the first paragraph on page 55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material assumptions of the May 2026 Financing Sales Outlook included, among other things, (i) commercial launch of zumilokibart for atopic dermatitis in 2029</w:t>
      </w:r>
      <w:r>
        <w:rPr>
          <w:rFonts w:ascii="Times New Roman" w:hAnsi="Times New Roman"/>
          <w:b/>
          <w:color w:val="000000"/>
          <w:sz w:val="20"/>
          <w:u w:val="single"/>
          <w:bdr w:val="single" w:sz="2" w:space="1" w:color="000000"/>
        </w:rPr>
        <w:t>, with a 90% probability of success</w:t>
      </w:r>
      <w:r>
        <w:rPr>
          <w:rFonts w:ascii="Times New Roman" w:hAnsi="Times New Roman"/>
          <w:color w:val="000000"/>
          <w:sz w:val="20"/>
        </w:rPr>
        <w:t>, for eosinophilic esophagitis in 2031</w:t>
      </w:r>
      <w:r>
        <w:rPr>
          <w:rFonts w:ascii="Times New Roman" w:hAnsi="Times New Roman"/>
          <w:b/>
          <w:color w:val="000000"/>
          <w:sz w:val="20"/>
          <w:u w:val="single"/>
          <w:bdr w:val="single" w:sz="2" w:space="1" w:color="000000"/>
        </w:rPr>
        <w:t>, with a 50% probability of success,</w:t>
      </w:r>
      <w:r>
        <w:rPr>
          <w:rFonts w:ascii="Times New Roman" w:hAnsi="Times New Roman"/>
          <w:color w:val="000000"/>
          <w:sz w:val="20"/>
        </w:rPr>
        <w:t xml:space="preserve"> and for asthma in 2032</w:t>
      </w:r>
      <w:r>
        <w:rPr>
          <w:rFonts w:ascii="Times New Roman" w:hAnsi="Times New Roman"/>
          <w:b/>
          <w:color w:val="000000"/>
          <w:sz w:val="20"/>
          <w:u w:val="single"/>
          <w:bdr w:val="single" w:sz="2" w:space="1" w:color="000000"/>
        </w:rPr>
        <w:t>, with a 60% probability of success,</w:t>
      </w:r>
      <w:r>
        <w:rPr>
          <w:rFonts w:ascii="Times New Roman" w:hAnsi="Times New Roman"/>
          <w:color w:val="000000"/>
          <w:sz w:val="20"/>
        </w:rPr>
        <w:t xml:space="preserve"> and (ii) less impact on market penetration for zumilokibart for atopic dermatitis resulting from entry of biosimilars relative to the March 2025 Financing Sales Outlook. Our board of directors also reviewed a non-risk-adjusted forecast of U.S. net sales of zumilokibart for the years 2029 through 2033 illustrating the impact of a royalty financing on our cash position through commercial launch of zumilokibart.</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Management Projections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Merger—Certain Financial Projections—Management Projections—Management Projections” </w:t>
      </w:r>
      <w:r>
        <w:rPr>
          <w:rFonts w:ascii="Times New Roman" w:hAnsi="Times New Roman"/>
          <w:i/>
          <w:color w:val="000000"/>
          <w:sz w:val="20"/>
        </w:rPr>
        <w:t>is hereby amended by adding the following bolded and double underlined language to the second to last paragraph on page 55 of the Definitive Proxy Statement:</w:t>
      </w:r>
    </w:p>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material assumptions of the Management Projections included, among other things, commercial launch of zumilokibart for atopic dermatitis in 2029</w:t>
      </w:r>
      <w:r>
        <w:rPr>
          <w:rFonts w:ascii="Times New Roman" w:hAnsi="Times New Roman"/>
          <w:b/>
          <w:color w:val="000000"/>
          <w:sz w:val="20"/>
          <w:u w:val="single"/>
          <w:bdr w:val="single" w:sz="2" w:space="1" w:color="000000"/>
        </w:rPr>
        <w:t>, with a probability of success of 90%,</w:t>
      </w:r>
      <w:r>
        <w:rPr>
          <w:rFonts w:ascii="Times New Roman" w:hAnsi="Times New Roman"/>
          <w:color w:val="000000"/>
          <w:sz w:val="20"/>
        </w:rPr>
        <w:t xml:space="preserve"> and for asthma and eosinophilic esophagitis in 2032</w:t>
      </w:r>
      <w:r>
        <w:rPr>
          <w:rFonts w:ascii="Times New Roman" w:hAnsi="Times New Roman"/>
          <w:b/>
          <w:color w:val="000000"/>
          <w:sz w:val="20"/>
          <w:u w:val="single"/>
          <w:bdr w:val="single" w:sz="2" w:space="1" w:color="000000"/>
        </w:rPr>
        <w:t>, with a probability of success of 60% and 50%, respectively</w:t>
      </w:r>
      <w:r>
        <w:rPr>
          <w:rFonts w:ascii="Times New Roman" w:hAnsi="Times New Roman"/>
          <w:color w:val="000000"/>
          <w:sz w:val="20"/>
        </w:rPr>
        <w:t>. The Management Projections included refinements to assumptions following management’s review of Part B data, including, among other things, (i) both increases and decreases in indication pricing, (ii) increases in year over year price growth in the first seven years following commercial launch, (iii) decreases in atopic dermatitis market share after 2035, including peak market share by approximately 10%, resulting from competition from novel therapies, including potential future combinations or new mechanisms of action, and (iv) decreases in patient compliance rates by approximately 10% during peak years for atopic dermatitis and eosinophilic esophagitis, in each case relative to the May 2026 Financing Sales Outlook.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The disclosure in the section captioned “</w:t>
      </w:r>
      <w:r>
        <w:rPr>
          <w:rFonts w:ascii="Times New Roman" w:hAnsi="Times New Roman"/>
          <w:color w:val="000000"/>
          <w:sz w:val="20"/>
        </w:rPr>
        <w:t xml:space="preserve">The Merger—Certain Financial Projections— Management Projections—Management Projections” </w:t>
      </w:r>
      <w:r>
        <w:rPr>
          <w:rFonts w:ascii="Times New Roman" w:hAnsi="Times New Roman"/>
          <w:i/>
          <w:color w:val="000000"/>
          <w:sz w:val="20"/>
        </w:rPr>
        <w:t>is hereby amended by adding the following bolded and double underlined new rows and language to the tables on page 56 of the Definitive Proxy Statement: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Management Projections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(Amounts in millions)</w:t>
      </w:r>
    </w:p>
    <w:p>
      <w:pPr>
        <w:pStyle w:val="TextBody"/>
        <w:bidi w:val="0"/>
        <w:spacing w:before="0" w:after="0"/>
        <w:jc w:val="left"/>
        <w:rPr/>
      </w:pPr>
      <w:r>
        <w:rPr/>
      </w:r>
    </w:p>
    <w:p>
      <w:pPr>
        <w:pStyle w:val="Normal"/>
        <w:bidi w:val="0"/>
        <w:spacing w:before="0" w:after="0"/>
        <w:ind w:left="720" w:right="0" w:hanging="0"/>
        <w:jc w:val="left"/>
        <w:rPr>
          <w:sz w:val="4"/>
          <w:szCs w:val="4"/>
        </w:rPr>
      </w:pPr>
      <w:r>
        <w:rPr>
          <w:sz w:val="4"/>
          <w:szCs w:val="4"/>
        </w:rPr>
      </w:r>
      <w:bookmarkStart w:id="48" w:name="zc52003348c714ab69eedb9cbdda9f0f6"/>
      <w:bookmarkStart w:id="49" w:name="zc52003348c714ab69eedb9cbdda9f0f6"/>
      <w:bookmarkEnd w:id="49"/>
    </w:p>
    <w:tbl>
      <w:tblPr>
        <w:tblW w:w="10790" w:type="dxa"/>
        <w:jc w:val="left"/>
        <w:tblInd w:w="720" w:type="dxa"/>
        <w:tblLayout w:type="fixed"/>
        <w:tblCellMar>
          <w:top w:w="0" w:type="dxa"/>
          <w:left w:w="0" w:type="dxa"/>
          <w:bottom w:w="0" w:type="dxa"/>
          <w:right w:w="0" w:type="dxa"/>
        </w:tblCellMar>
      </w:tblPr>
      <w:tblGrid>
        <w:gridCol w:w="1310"/>
        <w:gridCol w:w="140"/>
        <w:gridCol w:w="515"/>
        <w:gridCol w:w="95"/>
        <w:gridCol w:w="60"/>
        <w:gridCol w:w="200"/>
        <w:gridCol w:w="455"/>
        <w:gridCol w:w="95"/>
        <w:gridCol w:w="60"/>
        <w:gridCol w:w="140"/>
        <w:gridCol w:w="455"/>
        <w:gridCol w:w="95"/>
        <w:gridCol w:w="60"/>
        <w:gridCol w:w="200"/>
        <w:gridCol w:w="455"/>
        <w:gridCol w:w="95"/>
        <w:gridCol w:w="60"/>
        <w:gridCol w:w="140"/>
        <w:gridCol w:w="560"/>
        <w:gridCol w:w="95"/>
        <w:gridCol w:w="60"/>
        <w:gridCol w:w="140"/>
        <w:gridCol w:w="560"/>
        <w:gridCol w:w="95"/>
        <w:gridCol w:w="60"/>
        <w:gridCol w:w="140"/>
        <w:gridCol w:w="635"/>
        <w:gridCol w:w="95"/>
        <w:gridCol w:w="60"/>
        <w:gridCol w:w="140"/>
        <w:gridCol w:w="635"/>
        <w:gridCol w:w="95"/>
        <w:gridCol w:w="60"/>
        <w:gridCol w:w="140"/>
        <w:gridCol w:w="635"/>
        <w:gridCol w:w="95"/>
        <w:gridCol w:w="60"/>
        <w:gridCol w:w="140"/>
        <w:gridCol w:w="635"/>
        <w:gridCol w:w="95"/>
        <w:gridCol w:w="60"/>
        <w:gridCol w:w="140"/>
        <w:gridCol w:w="635"/>
        <w:gridCol w:w="95"/>
      </w:tblGrid>
      <w:tr>
        <w:trPr/>
        <w:tc>
          <w:tcPr>
            <w:tcW w:w="1310" w:type="dxa"/>
            <w:tcBorders/>
            <w:vAlign w:val="bottom"/>
          </w:tcPr>
          <w:p>
            <w:pPr>
              <w:pStyle w:val="TableContents"/>
              <w:bidi w:val="0"/>
              <w:spacing w:before="0" w:after="283"/>
              <w:jc w:val="left"/>
              <w:rPr/>
            </w:pPr>
            <w:r>
              <w:rPr/>
              <w:t> </w:t>
            </w:r>
          </w:p>
        </w:tc>
        <w:tc>
          <w:tcPr>
            <w:tcW w:w="9385" w:type="dxa"/>
            <w:gridSpan w:val="42"/>
            <w:tcBorders>
              <w:bottom w:val="single" w:sz="12" w:space="0" w:color="000000"/>
            </w:tcBorders>
            <w:tcMar>
              <w:bottom w:w="28" w:type="dxa"/>
            </w:tcMar>
            <w:vAlign w:val="bottom"/>
          </w:tcPr>
          <w:p>
            <w:pPr>
              <w:pStyle w:val="TableContents"/>
              <w:bidi w:val="0"/>
              <w:spacing w:before="0" w:after="0"/>
              <w:jc w:val="center"/>
              <w:rPr>
                <w:b/>
                <w:i/>
                <w:color w:val="000000"/>
              </w:rPr>
            </w:pPr>
            <w:r>
              <w:rPr>
                <w:b/>
                <w:i/>
                <w:color w:val="000000"/>
              </w:rPr>
              <w:t>Fiscal year ended December 31,</w:t>
            </w:r>
          </w:p>
        </w:tc>
        <w:tc>
          <w:tcPr>
            <w:tcW w:w="9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bottom"/>
          </w:tcPr>
          <w:p>
            <w:pPr>
              <w:pStyle w:val="TableContents"/>
              <w:bidi w:val="0"/>
              <w:spacing w:before="0" w:after="0"/>
              <w:jc w:val="center"/>
              <w:rPr>
                <w:color w:val="000000"/>
              </w:rPr>
            </w:pPr>
            <w:r>
              <w:rPr>
                <w:color w:val="000000"/>
              </w:rPr>
              <w:t> </w:t>
            </w:r>
            <w:r>
              <w:rPr>
                <w:b/>
                <w:color w:val="000000"/>
              </w:rPr>
              <w:t>2026</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2027</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2028</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6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2029</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2030</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2031</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2032</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2033</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2034</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2035</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2036</w:t>
            </w:r>
          </w:p>
        </w:tc>
        <w:tc>
          <w:tcPr>
            <w:tcW w:w="9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color w:val="000000"/>
              </w:rPr>
            </w:pPr>
            <w:r>
              <w:rPr>
                <w:color w:val="000000"/>
              </w:rPr>
              <w:t>Net Sales(1)</w:t>
            </w:r>
          </w:p>
        </w:tc>
        <w:tc>
          <w:tcPr>
            <w:tcW w:w="140" w:type="dxa"/>
            <w:tcBorders/>
            <w:shd w:fill="CCEEFF" w:val="clear"/>
            <w:vAlign w:val="bottom"/>
          </w:tcPr>
          <w:p>
            <w:pPr>
              <w:pStyle w:val="TableContents"/>
              <w:bidi w:val="0"/>
              <w:spacing w:before="0" w:after="0"/>
              <w:jc w:val="center"/>
              <w:rPr>
                <w:color w:val="000000"/>
              </w:rPr>
            </w:pPr>
            <w:r>
              <w:rPr>
                <w:color w:val="000000"/>
              </w:rPr>
              <w:t>$</w:t>
            </w:r>
          </w:p>
        </w:tc>
        <w:tc>
          <w:tcPr>
            <w:tcW w:w="515" w:type="dxa"/>
            <w:tcBorders/>
            <w:shd w:fill="CCEEFF" w:val="clear"/>
            <w:vAlign w:val="bottom"/>
          </w:tcPr>
          <w:p>
            <w:pPr>
              <w:pStyle w:val="TableContents"/>
              <w:bidi w:val="0"/>
              <w:spacing w:before="0" w:after="283"/>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455"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455"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455" w:type="dxa"/>
            <w:tcBorders/>
            <w:shd w:fill="CCEEFF" w:val="clear"/>
            <w:vAlign w:val="bottom"/>
          </w:tcPr>
          <w:p>
            <w:pPr>
              <w:pStyle w:val="TableContents"/>
              <w:bidi w:val="0"/>
              <w:spacing w:before="0" w:after="0"/>
              <w:jc w:val="right"/>
              <w:rPr>
                <w:color w:val="000000"/>
              </w:rPr>
            </w:pPr>
            <w:r>
              <w:rPr>
                <w:color w:val="000000"/>
              </w:rPr>
              <w:t>106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1,078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2,424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4,752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6,544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6,795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7,533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8,219</w:t>
            </w:r>
          </w:p>
        </w:tc>
        <w:tc>
          <w:tcPr>
            <w:tcW w:w="9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0" w:right="0" w:firstLine="202"/>
              <w:jc w:val="left"/>
              <w:rPr>
                <w:b/>
                <w:u w:val="single"/>
                <w:bdr w:val="single" w:sz="2" w:space="1" w:color="000000"/>
              </w:rPr>
            </w:pPr>
            <w:r>
              <w:rPr>
                <w:b/>
                <w:u w:val="single"/>
                <w:bdr w:val="single" w:sz="2" w:space="1" w:color="000000"/>
              </w:rPr>
              <w:t>COGS</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515" w:type="dxa"/>
            <w:tcBorders>
              <w:bottom w:val="double" w:sz="8" w:space="0" w:color="000000"/>
            </w:tcBorders>
            <w:tcMar>
              <w:bottom w:w="28" w:type="dxa"/>
            </w:tcMar>
            <w:vAlign w:val="bottom"/>
          </w:tcPr>
          <w:p>
            <w:pPr>
              <w:pStyle w:val="TableContents"/>
              <w:bidi w:val="0"/>
              <w:spacing w:before="0" w:after="0"/>
              <w:jc w:val="right"/>
              <w:rPr>
                <w:b/>
              </w:rPr>
            </w:pPr>
            <w:r>
              <w:rPr>
                <w:b/>
              </w:rPr>
              <w:t>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tcMar>
              <w:bottom w:w="28" w:type="dxa"/>
            </w:tcMar>
            <w:vAlign w:val="bottom"/>
          </w:tcPr>
          <w:p>
            <w:pPr>
              <w:pStyle w:val="TableContents"/>
              <w:bidi w:val="0"/>
              <w:spacing w:before="0" w:after="0"/>
              <w:jc w:val="right"/>
              <w:rPr>
                <w:b/>
              </w:rPr>
            </w:pPr>
            <w:r>
              <w:rPr>
                <w:b/>
              </w:rPr>
              <w:t>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tcMar>
              <w:bottom w:w="28" w:type="dxa"/>
            </w:tcMar>
            <w:vAlign w:val="bottom"/>
          </w:tcPr>
          <w:p>
            <w:pPr>
              <w:pStyle w:val="TableContents"/>
              <w:bidi w:val="0"/>
              <w:spacing w:before="0" w:after="0"/>
              <w:jc w:val="right"/>
              <w:rPr>
                <w:b/>
              </w:rPr>
            </w:pPr>
            <w:r>
              <w:rPr>
                <w:b/>
              </w:rPr>
              <w:t>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tcMar>
              <w:bottom w:w="28" w:type="dxa"/>
            </w:tcMar>
            <w:vAlign w:val="bottom"/>
          </w:tcPr>
          <w:p>
            <w:pPr>
              <w:pStyle w:val="TableContents"/>
              <w:bidi w:val="0"/>
              <w:spacing w:before="0" w:after="0"/>
              <w:jc w:val="right"/>
              <w:rPr>
                <w:b/>
              </w:rPr>
            </w:pPr>
            <w:r>
              <w:rPr>
                <w:b/>
              </w:rPr>
              <w:t>(15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before="0" w:after="0"/>
              <w:jc w:val="right"/>
              <w:rPr>
                <w:b/>
              </w:rPr>
            </w:pPr>
            <w:r>
              <w:rPr>
                <w:b/>
              </w:rPr>
              <w:t>(72</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before="0" w:after="0"/>
              <w:jc w:val="right"/>
              <w:rPr>
                <w:b/>
              </w:rPr>
            </w:pPr>
            <w:r>
              <w:rPr>
                <w:b/>
              </w:rPr>
              <w:t>(183</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(316</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(369</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(375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(448</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(356</w:t>
            </w:r>
          </w:p>
        </w:tc>
        <w:tc>
          <w:tcPr>
            <w:tcW w:w="95" w:type="dxa"/>
            <w:tcBorders/>
            <w:vAlign w:val="bottom"/>
          </w:tcPr>
          <w:p>
            <w:pPr>
              <w:pStyle w:val="TableContents"/>
              <w:bidi w:val="0"/>
              <w:spacing w:before="0" w:after="0"/>
              <w:jc w:val="left"/>
              <w:rPr>
                <w:b/>
              </w:rPr>
            </w:pPr>
            <w:r>
              <w:rPr>
                <w:b/>
              </w:rPr>
              <w:t>)</w:t>
            </w:r>
          </w:p>
        </w:tc>
      </w:tr>
      <w:tr>
        <w:trPr/>
        <w:tc>
          <w:tcPr>
            <w:tcW w:w="1310" w:type="dxa"/>
            <w:tcBorders/>
            <w:shd w:fill="CCEEFF" w:val="clear"/>
            <w:vAlign w:val="bottom"/>
          </w:tcPr>
          <w:p>
            <w:pPr>
              <w:pStyle w:val="TableContents"/>
              <w:bidi w:val="0"/>
              <w:spacing w:before="0" w:after="0"/>
              <w:ind w:left="0" w:right="0" w:firstLine="202"/>
              <w:jc w:val="left"/>
              <w:rPr>
                <w:b/>
                <w:u w:val="single"/>
                <w:bdr w:val="single" w:sz="2" w:space="1" w:color="000000"/>
              </w:rPr>
            </w:pPr>
            <w:r>
              <w:rPr>
                <w:b/>
                <w:u w:val="single"/>
                <w:bdr w:val="single" w:sz="2" w:space="1" w:color="000000"/>
              </w:rPr>
              <w:t>Royalties</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1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(105</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(236</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(445</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(521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(528</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(548</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(569</w:t>
            </w:r>
          </w:p>
        </w:tc>
        <w:tc>
          <w:tcPr>
            <w:tcW w:w="95" w:type="dxa"/>
            <w:tcBorders/>
            <w:shd w:fill="CCEEFF" w:val="clear"/>
            <w:vAlign w:val="bottom"/>
          </w:tcPr>
          <w:p>
            <w:pPr>
              <w:pStyle w:val="TableContents"/>
              <w:bidi w:val="0"/>
              <w:spacing w:before="0" w:after="0"/>
              <w:jc w:val="left"/>
              <w:rPr>
                <w:b/>
              </w:rPr>
            </w:pPr>
            <w:r>
              <w:rPr>
                <w:b/>
              </w:rPr>
              <w:t>)</w:t>
            </w:r>
          </w:p>
        </w:tc>
      </w:tr>
      <w:tr>
        <w:trPr/>
        <w:tc>
          <w:tcPr>
            <w:tcW w:w="1310" w:type="dxa"/>
            <w:tcBorders/>
            <w:vAlign w:val="bottom"/>
          </w:tcPr>
          <w:p>
            <w:pPr>
              <w:pStyle w:val="TableContents"/>
              <w:bidi w:val="0"/>
              <w:spacing w:before="0" w:after="0"/>
              <w:jc w:val="left"/>
              <w:rPr>
                <w:color w:val="000000"/>
              </w:rPr>
            </w:pPr>
            <w:r>
              <w:rPr>
                <w:color w:val="000000"/>
              </w:rPr>
              <w:t>Gross Profit(2)</w:t>
            </w:r>
          </w:p>
        </w:tc>
        <w:tc>
          <w:tcPr>
            <w:tcW w:w="140" w:type="dxa"/>
            <w:tcBorders/>
            <w:vAlign w:val="bottom"/>
          </w:tcPr>
          <w:p>
            <w:pPr>
              <w:pStyle w:val="TableContents"/>
              <w:bidi w:val="0"/>
              <w:spacing w:before="0" w:after="0"/>
              <w:jc w:val="center"/>
              <w:rPr>
                <w:color w:val="000000"/>
              </w:rPr>
            </w:pPr>
            <w:r>
              <w:rPr>
                <w:color w:val="000000"/>
              </w:rPr>
              <w:t>$</w:t>
            </w:r>
          </w:p>
        </w:tc>
        <w:tc>
          <w:tcPr>
            <w:tcW w:w="515" w:type="dxa"/>
            <w:tcBorders/>
            <w:vAlign w:val="bottom"/>
          </w:tcPr>
          <w:p>
            <w:pPr>
              <w:pStyle w:val="TableContents"/>
              <w:bidi w:val="0"/>
              <w:spacing w:before="0" w:after="283"/>
              <w:jc w:val="right"/>
              <w:rPr/>
            </w:pPr>
            <w:r>
              <w:rPr/>
              <w:t> </w:t>
            </w:r>
            <w:r>
              <w:rPr/>
              <w:t>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0"/>
              <w:jc w:val="left"/>
              <w:rPr>
                <w:color w:val="000000"/>
              </w:rPr>
            </w:pPr>
            <w:r>
              <w:rPr>
                <w:color w:val="000000"/>
              </w:rPr>
              <w:t>$</w:t>
            </w:r>
          </w:p>
        </w:tc>
        <w:tc>
          <w:tcPr>
            <w:tcW w:w="455" w:type="dxa"/>
            <w:tcBorders/>
            <w:vAlign w:val="bottom"/>
          </w:tcPr>
          <w:p>
            <w:pPr>
              <w:pStyle w:val="TableContents"/>
              <w:bidi w:val="0"/>
              <w:spacing w:before="0" w:after="0"/>
              <w:jc w:val="right"/>
              <w:rPr>
                <w:color w:val="000000"/>
              </w:rPr>
            </w:pPr>
            <w:r>
              <w:rPr>
                <w:color w:val="000000"/>
              </w:rPr>
              <w:t>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455" w:type="dxa"/>
            <w:tcBorders/>
            <w:vAlign w:val="bottom"/>
          </w:tcPr>
          <w:p>
            <w:pPr>
              <w:pStyle w:val="TableContents"/>
              <w:bidi w:val="0"/>
              <w:spacing w:before="0" w:after="0"/>
              <w:jc w:val="right"/>
              <w:rPr>
                <w:color w:val="000000"/>
              </w:rPr>
            </w:pPr>
            <w:r>
              <w:rPr>
                <w:color w:val="000000"/>
              </w:rPr>
              <w:t>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0"/>
              <w:jc w:val="left"/>
              <w:rPr>
                <w:color w:val="000000"/>
              </w:rPr>
            </w:pPr>
            <w:r>
              <w:rPr>
                <w:color w:val="000000"/>
              </w:rPr>
              <w:t>$</w:t>
            </w:r>
          </w:p>
        </w:tc>
        <w:tc>
          <w:tcPr>
            <w:tcW w:w="455" w:type="dxa"/>
            <w:tcBorders/>
            <w:vAlign w:val="bottom"/>
          </w:tcPr>
          <w:p>
            <w:pPr>
              <w:pStyle w:val="TableContents"/>
              <w:bidi w:val="0"/>
              <w:spacing w:before="0" w:after="0"/>
              <w:jc w:val="right"/>
              <w:rPr>
                <w:color w:val="000000"/>
              </w:rPr>
            </w:pPr>
            <w:r>
              <w:rPr>
                <w:color w:val="000000"/>
              </w:rPr>
              <w:t>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901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2,005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3,992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5,655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5,892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6,537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7,294</w:t>
            </w:r>
          </w:p>
        </w:tc>
        <w:tc>
          <w:tcPr>
            <w:tcW w:w="9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0" w:right="0" w:firstLine="202"/>
              <w:jc w:val="left"/>
              <w:rPr>
                <w:b/>
                <w:u w:val="single"/>
                <w:bdr w:val="single" w:sz="2" w:space="1" w:color="000000"/>
              </w:rPr>
            </w:pPr>
            <w:r>
              <w:rPr>
                <w:b/>
                <w:u w:val="single"/>
                <w:bdr w:val="single" w:sz="2" w:space="1" w:color="000000"/>
              </w:rPr>
              <w:t>R&amp;D</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1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(267</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(453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(462</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(386</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(318</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(199</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(189</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(199</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(25</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r>
      <w:tr>
        <w:trPr/>
        <w:tc>
          <w:tcPr>
            <w:tcW w:w="1310" w:type="dxa"/>
            <w:tcBorders/>
            <w:vAlign w:val="bottom"/>
          </w:tcPr>
          <w:p>
            <w:pPr>
              <w:pStyle w:val="TableContents"/>
              <w:bidi w:val="0"/>
              <w:spacing w:before="0" w:after="0"/>
              <w:ind w:left="360" w:right="0" w:hanging="180"/>
              <w:jc w:val="left"/>
              <w:rPr>
                <w:b/>
                <w:u w:val="single"/>
                <w:bdr w:val="single" w:sz="2" w:space="1" w:color="000000"/>
              </w:rPr>
            </w:pPr>
            <w:r>
              <w:rPr>
                <w:b/>
                <w:u w:val="single"/>
                <w:bdr w:val="single" w:sz="2" w:space="1" w:color="000000"/>
              </w:rPr>
              <w:t>SG&amp;A and Commercial</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515" w:type="dxa"/>
            <w:tcBorders>
              <w:bottom w:val="double" w:sz="8" w:space="0" w:color="000000"/>
            </w:tcBorders>
            <w:tcMar>
              <w:bottom w:w="28" w:type="dxa"/>
            </w:tcMar>
            <w:vAlign w:val="bottom"/>
          </w:tcPr>
          <w:p>
            <w:pPr>
              <w:pStyle w:val="TableContents"/>
              <w:bidi w:val="0"/>
              <w:spacing w:before="0" w:after="0"/>
              <w:jc w:val="right"/>
              <w:rPr>
                <w:b/>
              </w:rPr>
            </w:pPr>
            <w:r>
              <w:rPr>
                <w:b/>
              </w:rPr>
              <w:t>(76</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tcMar>
              <w:bottom w:w="28" w:type="dxa"/>
            </w:tcMar>
            <w:vAlign w:val="bottom"/>
          </w:tcPr>
          <w:p>
            <w:pPr>
              <w:pStyle w:val="TableContents"/>
              <w:bidi w:val="0"/>
              <w:spacing w:before="0" w:after="0"/>
              <w:jc w:val="right"/>
              <w:rPr>
                <w:b/>
              </w:rPr>
            </w:pPr>
            <w:r>
              <w:rPr>
                <w:b/>
              </w:rPr>
              <w:t>(135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tcMar>
              <w:bottom w:w="28" w:type="dxa"/>
            </w:tcMar>
            <w:vAlign w:val="bottom"/>
          </w:tcPr>
          <w:p>
            <w:pPr>
              <w:pStyle w:val="TableContents"/>
              <w:bidi w:val="0"/>
              <w:spacing w:before="0" w:after="0"/>
              <w:jc w:val="right"/>
              <w:rPr>
                <w:b/>
              </w:rPr>
            </w:pPr>
            <w:r>
              <w:rPr>
                <w:b/>
              </w:rPr>
              <w:t>(155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tcMar>
              <w:bottom w:w="28" w:type="dxa"/>
            </w:tcMar>
            <w:vAlign w:val="bottom"/>
          </w:tcPr>
          <w:p>
            <w:pPr>
              <w:pStyle w:val="TableContents"/>
              <w:bidi w:val="0"/>
              <w:spacing w:before="0" w:after="0"/>
              <w:jc w:val="right"/>
              <w:rPr>
                <w:b/>
              </w:rPr>
            </w:pPr>
            <w:r>
              <w:rPr>
                <w:b/>
              </w:rPr>
              <w:t>(179</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before="0" w:after="0"/>
              <w:jc w:val="right"/>
              <w:rPr>
                <w:b/>
              </w:rPr>
            </w:pPr>
            <w:r>
              <w:rPr>
                <w:b/>
              </w:rPr>
              <w:t>(382</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before="0" w:after="0"/>
              <w:jc w:val="right"/>
              <w:rPr>
                <w:b/>
              </w:rPr>
            </w:pPr>
            <w:r>
              <w:rPr>
                <w:b/>
              </w:rPr>
              <w:t>(745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(1,485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(2,029</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(2,098</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(2,316</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(2,483</w:t>
            </w:r>
          </w:p>
        </w:tc>
        <w:tc>
          <w:tcPr>
            <w:tcW w:w="95" w:type="dxa"/>
            <w:tcBorders/>
            <w:vAlign w:val="bottom"/>
          </w:tcPr>
          <w:p>
            <w:pPr>
              <w:pStyle w:val="TableContents"/>
              <w:bidi w:val="0"/>
              <w:spacing w:before="0" w:after="0"/>
              <w:jc w:val="left"/>
              <w:rPr>
                <w:b/>
              </w:rPr>
            </w:pPr>
            <w:r>
              <w:rPr>
                <w:b/>
              </w:rPr>
              <w:t>)</w:t>
            </w:r>
          </w:p>
        </w:tc>
      </w:tr>
      <w:tr>
        <w:trPr/>
        <w:tc>
          <w:tcPr>
            <w:tcW w:w="1310" w:type="dxa"/>
            <w:tcBorders/>
            <w:shd w:fill="CCEEFF" w:val="clear"/>
            <w:vAlign w:val="bottom"/>
          </w:tcPr>
          <w:p>
            <w:pPr>
              <w:pStyle w:val="TableContents"/>
              <w:bidi w:val="0"/>
              <w:spacing w:before="0" w:after="0"/>
              <w:ind w:left="360" w:right="0" w:hanging="180"/>
              <w:jc w:val="left"/>
              <w:rPr>
                <w:b/>
                <w:u w:val="single"/>
                <w:bdr w:val="single" w:sz="2" w:space="1" w:color="000000"/>
              </w:rPr>
            </w:pPr>
            <w:r>
              <w:rPr>
                <w:b/>
                <w:u w:val="single"/>
                <w:bdr w:val="single" w:sz="2" w:space="1" w:color="000000"/>
              </w:rPr>
              <w:t>Stock-Based Compensation</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1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(63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(74</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(83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45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(104</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(129</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(148</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(262</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(351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(343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(380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(412</w:t>
            </w:r>
          </w:p>
        </w:tc>
        <w:tc>
          <w:tcPr>
            <w:tcW w:w="95" w:type="dxa"/>
            <w:tcBorders/>
            <w:shd w:fill="CCEEFF" w:val="clear"/>
            <w:vAlign w:val="bottom"/>
          </w:tcPr>
          <w:p>
            <w:pPr>
              <w:pStyle w:val="TableContents"/>
              <w:bidi w:val="0"/>
              <w:spacing w:before="0" w:after="0"/>
              <w:jc w:val="left"/>
              <w:rPr>
                <w:b/>
              </w:rPr>
            </w:pPr>
            <w:r>
              <w:rPr>
                <w:b/>
              </w:rPr>
              <w:t>)</w:t>
            </w:r>
          </w:p>
        </w:tc>
      </w:tr>
      <w:tr>
        <w:trPr/>
        <w:tc>
          <w:tcPr>
            <w:tcW w:w="1310" w:type="dxa"/>
            <w:tcBorders/>
            <w:vAlign w:val="bottom"/>
          </w:tcPr>
          <w:p>
            <w:pPr>
              <w:pStyle w:val="TableContents"/>
              <w:bidi w:val="0"/>
              <w:spacing w:before="0" w:after="0"/>
              <w:ind w:left="202" w:right="0" w:hanging="202"/>
              <w:jc w:val="left"/>
              <w:rPr>
                <w:color w:val="000000"/>
              </w:rPr>
            </w:pPr>
            <w:r>
              <w:rPr>
                <w:color w:val="000000"/>
              </w:rPr>
              <w:t>Total Operating Income(3)</w:t>
            </w:r>
          </w:p>
        </w:tc>
        <w:tc>
          <w:tcPr>
            <w:tcW w:w="140" w:type="dxa"/>
            <w:tcBorders/>
            <w:vAlign w:val="bottom"/>
          </w:tcPr>
          <w:p>
            <w:pPr>
              <w:pStyle w:val="TableContents"/>
              <w:bidi w:val="0"/>
              <w:spacing w:before="0" w:after="0"/>
              <w:jc w:val="left"/>
              <w:rPr>
                <w:color w:val="000000"/>
              </w:rPr>
            </w:pPr>
            <w:r>
              <w:rPr>
                <w:color w:val="000000"/>
              </w:rPr>
              <w:t>$</w:t>
            </w:r>
          </w:p>
        </w:tc>
        <w:tc>
          <w:tcPr>
            <w:tcW w:w="515" w:type="dxa"/>
            <w:tcBorders/>
            <w:vAlign w:val="bottom"/>
          </w:tcPr>
          <w:p>
            <w:pPr>
              <w:pStyle w:val="TableContents"/>
              <w:bidi w:val="0"/>
              <w:spacing w:before="0" w:after="283"/>
              <w:jc w:val="right"/>
              <w:rPr/>
            </w:pPr>
            <w:r>
              <w:rPr/>
              <w:t> </w:t>
            </w:r>
            <w:r>
              <w:rPr/>
              <w:t>(406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0"/>
              <w:jc w:val="left"/>
              <w:rPr>
                <w:color w:val="000000"/>
              </w:rPr>
            </w:pPr>
            <w:r>
              <w:rPr>
                <w:color w:val="000000"/>
              </w:rPr>
              <w:t>$ </w:t>
            </w:r>
          </w:p>
        </w:tc>
        <w:tc>
          <w:tcPr>
            <w:tcW w:w="455" w:type="dxa"/>
            <w:tcBorders/>
            <w:vAlign w:val="bottom"/>
          </w:tcPr>
          <w:p>
            <w:pPr>
              <w:pStyle w:val="TableContents"/>
              <w:bidi w:val="0"/>
              <w:spacing w:before="0" w:after="0"/>
              <w:jc w:val="right"/>
              <w:rPr>
                <w:color w:val="000000"/>
              </w:rPr>
            </w:pPr>
            <w:r>
              <w:rPr>
                <w:color w:val="000000"/>
              </w:rPr>
              <w:t>(661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455" w:type="dxa"/>
            <w:tcBorders/>
            <w:vAlign w:val="bottom"/>
          </w:tcPr>
          <w:p>
            <w:pPr>
              <w:pStyle w:val="TableContents"/>
              <w:bidi w:val="0"/>
              <w:spacing w:before="0" w:after="0"/>
              <w:jc w:val="right"/>
              <w:rPr>
                <w:color w:val="000000"/>
              </w:rPr>
            </w:pPr>
            <w:r>
              <w:rPr>
                <w:color w:val="000000"/>
              </w:rPr>
              <w:t>(700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0"/>
              <w:jc w:val="left"/>
              <w:rPr>
                <w:color w:val="000000"/>
              </w:rPr>
            </w:pPr>
            <w:r>
              <w:rPr>
                <w:color w:val="000000"/>
              </w:rPr>
              <w:t>$ </w:t>
            </w:r>
          </w:p>
        </w:tc>
        <w:tc>
          <w:tcPr>
            <w:tcW w:w="455" w:type="dxa"/>
            <w:tcBorders/>
            <w:vAlign w:val="bottom"/>
          </w:tcPr>
          <w:p>
            <w:pPr>
              <w:pStyle w:val="TableContents"/>
              <w:bidi w:val="0"/>
              <w:spacing w:before="0" w:after="0"/>
              <w:jc w:val="right"/>
              <w:rPr>
                <w:color w:val="000000"/>
              </w:rPr>
            </w:pPr>
            <w:r>
              <w:rPr>
                <w:color w:val="000000"/>
              </w:rPr>
              <w:t>(588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914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2,057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3,075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3,426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3,821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4,379</w:t>
            </w:r>
          </w:p>
        </w:tc>
        <w:tc>
          <w:tcPr>
            <w:tcW w:w="9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color w:val="000000"/>
              </w:rPr>
            </w:pPr>
            <w:r>
              <w:rPr>
                <w:color w:val="000000"/>
              </w:rPr>
              <w:t>NOPAT(4)</w:t>
            </w:r>
          </w:p>
        </w:tc>
        <w:tc>
          <w:tcPr>
            <w:tcW w:w="140" w:type="dxa"/>
            <w:tcBorders/>
            <w:shd w:fill="CCEEFF" w:val="clear"/>
            <w:vAlign w:val="bottom"/>
          </w:tcPr>
          <w:p>
            <w:pPr>
              <w:pStyle w:val="TableContents"/>
              <w:bidi w:val="0"/>
              <w:spacing w:before="0" w:after="0"/>
              <w:jc w:val="center"/>
              <w:rPr>
                <w:color w:val="000000"/>
              </w:rPr>
            </w:pPr>
            <w:r>
              <w:rPr>
                <w:color w:val="000000"/>
              </w:rPr>
              <w:t>$</w:t>
            </w:r>
          </w:p>
        </w:tc>
        <w:tc>
          <w:tcPr>
            <w:tcW w:w="515" w:type="dxa"/>
            <w:tcBorders/>
            <w:shd w:fill="CCEEFF" w:val="clear"/>
            <w:vAlign w:val="bottom"/>
          </w:tcPr>
          <w:p>
            <w:pPr>
              <w:pStyle w:val="TableContents"/>
              <w:bidi w:val="0"/>
              <w:spacing w:before="0" w:after="283"/>
              <w:jc w:val="right"/>
              <w:rPr/>
            </w:pPr>
            <w:r>
              <w:rPr/>
              <w:t>(406</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 </w:t>
            </w:r>
          </w:p>
        </w:tc>
        <w:tc>
          <w:tcPr>
            <w:tcW w:w="455" w:type="dxa"/>
            <w:tcBorders/>
            <w:shd w:fill="CCEEFF" w:val="clear"/>
            <w:vAlign w:val="bottom"/>
          </w:tcPr>
          <w:p>
            <w:pPr>
              <w:pStyle w:val="TableContents"/>
              <w:bidi w:val="0"/>
              <w:spacing w:before="0" w:after="0"/>
              <w:jc w:val="right"/>
              <w:rPr>
                <w:color w:val="000000"/>
              </w:rPr>
            </w:pPr>
            <w:r>
              <w:rPr>
                <w:color w:val="000000"/>
              </w:rPr>
              <w:t>(661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455" w:type="dxa"/>
            <w:tcBorders/>
            <w:shd w:fill="CCEEFF" w:val="clear"/>
            <w:vAlign w:val="bottom"/>
          </w:tcPr>
          <w:p>
            <w:pPr>
              <w:pStyle w:val="TableContents"/>
              <w:bidi w:val="0"/>
              <w:spacing w:before="0" w:after="0"/>
              <w:jc w:val="right"/>
              <w:rPr>
                <w:color w:val="000000"/>
              </w:rPr>
            </w:pPr>
            <w:r>
              <w:rPr>
                <w:color w:val="000000"/>
              </w:rPr>
              <w:t>(700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 </w:t>
            </w:r>
          </w:p>
        </w:tc>
        <w:tc>
          <w:tcPr>
            <w:tcW w:w="455" w:type="dxa"/>
            <w:tcBorders/>
            <w:shd w:fill="CCEEFF" w:val="clear"/>
            <w:vAlign w:val="bottom"/>
          </w:tcPr>
          <w:p>
            <w:pPr>
              <w:pStyle w:val="TableContents"/>
              <w:bidi w:val="0"/>
              <w:spacing w:before="0" w:after="0"/>
              <w:jc w:val="right"/>
              <w:rPr>
                <w:color w:val="000000"/>
              </w:rPr>
            </w:pPr>
            <w:r>
              <w:rPr>
                <w:color w:val="000000"/>
              </w:rPr>
              <w:t>(588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676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1,522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2,276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2,535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2,827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3,241</w:t>
            </w:r>
          </w:p>
        </w:tc>
        <w:tc>
          <w:tcPr>
            <w:tcW w:w="9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200" w:right="0" w:hanging="200"/>
              <w:jc w:val="left"/>
              <w:rPr>
                <w:color w:val="000000"/>
              </w:rPr>
            </w:pPr>
            <w:r>
              <w:rPr>
                <w:color w:val="000000"/>
              </w:rPr>
              <w:t>Unlevered Free Cash Flow(5)</w:t>
            </w:r>
          </w:p>
        </w:tc>
        <w:tc>
          <w:tcPr>
            <w:tcW w:w="140" w:type="dxa"/>
            <w:tcBorders/>
            <w:vAlign w:val="bottom"/>
          </w:tcPr>
          <w:p>
            <w:pPr>
              <w:pStyle w:val="TableContents"/>
              <w:bidi w:val="0"/>
              <w:spacing w:before="0" w:after="0"/>
              <w:jc w:val="center"/>
              <w:rPr>
                <w:color w:val="000000"/>
              </w:rPr>
            </w:pPr>
            <w:r>
              <w:rPr>
                <w:color w:val="000000"/>
              </w:rPr>
              <w:t>$</w:t>
            </w:r>
          </w:p>
        </w:tc>
        <w:tc>
          <w:tcPr>
            <w:tcW w:w="515" w:type="dxa"/>
            <w:tcBorders/>
            <w:vAlign w:val="bottom"/>
          </w:tcPr>
          <w:p>
            <w:pPr>
              <w:pStyle w:val="TableContents"/>
              <w:bidi w:val="0"/>
              <w:spacing w:before="0" w:after="283"/>
              <w:jc w:val="right"/>
              <w:rPr/>
            </w:pPr>
            <w:r>
              <w:rPr/>
              <w:t>(406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0"/>
              <w:jc w:val="left"/>
              <w:rPr>
                <w:color w:val="000000"/>
              </w:rPr>
            </w:pPr>
            <w:r>
              <w:rPr>
                <w:color w:val="000000"/>
              </w:rPr>
              <w:t>$ </w:t>
            </w:r>
          </w:p>
        </w:tc>
        <w:tc>
          <w:tcPr>
            <w:tcW w:w="455" w:type="dxa"/>
            <w:tcBorders/>
            <w:vAlign w:val="bottom"/>
          </w:tcPr>
          <w:p>
            <w:pPr>
              <w:pStyle w:val="TableContents"/>
              <w:bidi w:val="0"/>
              <w:spacing w:before="0" w:after="0"/>
              <w:jc w:val="right"/>
              <w:rPr>
                <w:color w:val="000000"/>
              </w:rPr>
            </w:pPr>
            <w:r>
              <w:rPr>
                <w:color w:val="000000"/>
              </w:rPr>
              <w:t>(661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455" w:type="dxa"/>
            <w:tcBorders/>
            <w:vAlign w:val="bottom"/>
          </w:tcPr>
          <w:p>
            <w:pPr>
              <w:pStyle w:val="TableContents"/>
              <w:bidi w:val="0"/>
              <w:spacing w:before="0" w:after="0"/>
              <w:jc w:val="right"/>
              <w:rPr>
                <w:color w:val="000000"/>
              </w:rPr>
            </w:pPr>
            <w:r>
              <w:rPr>
                <w:color w:val="000000"/>
              </w:rPr>
              <w:t>(700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0"/>
              <w:jc w:val="left"/>
              <w:rPr>
                <w:color w:val="000000"/>
              </w:rPr>
            </w:pPr>
            <w:r>
              <w:rPr>
                <w:color w:val="000000"/>
              </w:rPr>
              <w:t>$ </w:t>
            </w:r>
          </w:p>
        </w:tc>
        <w:tc>
          <w:tcPr>
            <w:tcW w:w="455" w:type="dxa"/>
            <w:tcBorders/>
            <w:vAlign w:val="bottom"/>
          </w:tcPr>
          <w:p>
            <w:pPr>
              <w:pStyle w:val="TableContents"/>
              <w:bidi w:val="0"/>
              <w:spacing w:before="0" w:after="0"/>
              <w:jc w:val="right"/>
              <w:rPr>
                <w:color w:val="000000"/>
              </w:rPr>
            </w:pPr>
            <w:r>
              <w:rPr>
                <w:color w:val="000000"/>
              </w:rPr>
              <w:t>(599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(44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542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1,289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2,097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2,510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2,753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635" w:type="dxa"/>
            <w:tcBorders/>
            <w:vAlign w:val="bottom"/>
          </w:tcPr>
          <w:p>
            <w:pPr>
              <w:pStyle w:val="TableContents"/>
              <w:bidi w:val="0"/>
              <w:spacing w:before="0" w:after="0"/>
              <w:jc w:val="right"/>
              <w:rPr>
                <w:color w:val="000000"/>
              </w:rPr>
            </w:pPr>
            <w:r>
              <w:rPr>
                <w:color w:val="000000"/>
              </w:rPr>
              <w:t>3,172</w:t>
            </w:r>
          </w:p>
        </w:tc>
        <w:tc>
          <w:tcPr>
            <w:tcW w:w="9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200" w:right="0" w:hanging="200"/>
              <w:jc w:val="left"/>
              <w:rPr>
                <w:color w:val="000000"/>
              </w:rPr>
            </w:pPr>
            <w:r>
              <w:rPr>
                <w:color w:val="000000"/>
              </w:rPr>
              <w:t>Cash Flow From Blackstone(6)</w:t>
            </w:r>
          </w:p>
        </w:tc>
        <w:tc>
          <w:tcPr>
            <w:tcW w:w="140" w:type="dxa"/>
            <w:tcBorders/>
            <w:shd w:fill="CCEEFF" w:val="clear"/>
            <w:vAlign w:val="bottom"/>
          </w:tcPr>
          <w:p>
            <w:pPr>
              <w:pStyle w:val="TableContents"/>
              <w:bidi w:val="0"/>
              <w:spacing w:before="0" w:after="0"/>
              <w:jc w:val="center"/>
              <w:rPr>
                <w:color w:val="000000"/>
              </w:rPr>
            </w:pPr>
            <w:r>
              <w:rPr>
                <w:color w:val="000000"/>
              </w:rPr>
              <w:t>$</w:t>
            </w:r>
          </w:p>
        </w:tc>
        <w:tc>
          <w:tcPr>
            <w:tcW w:w="515" w:type="dxa"/>
            <w:tcBorders/>
            <w:shd w:fill="CCEEFF" w:val="clear"/>
            <w:vAlign w:val="bottom"/>
          </w:tcPr>
          <w:p>
            <w:pPr>
              <w:pStyle w:val="TableContents"/>
              <w:bidi w:val="0"/>
              <w:spacing w:before="0" w:after="283"/>
              <w:jc w:val="right"/>
              <w:rPr/>
            </w:pPr>
            <w:r>
              <w:rPr/>
              <w:t> </w:t>
            </w: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455" w:type="dxa"/>
            <w:tcBorders/>
            <w:shd w:fill="CCEEFF" w:val="clear"/>
            <w:vAlign w:val="bottom"/>
          </w:tcPr>
          <w:p>
            <w:pPr>
              <w:pStyle w:val="TableContents"/>
              <w:bidi w:val="0"/>
              <w:spacing w:before="0" w:after="0"/>
              <w:jc w:val="right"/>
              <w:rPr>
                <w:color w:val="000000"/>
              </w:rPr>
            </w:pPr>
            <w:r>
              <w:rPr>
                <w:color w:val="000000"/>
              </w:rPr>
              <w:t>100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455" w:type="dxa"/>
            <w:tcBorders/>
            <w:shd w:fill="CCEEFF" w:val="clear"/>
            <w:vAlign w:val="bottom"/>
          </w:tcPr>
          <w:p>
            <w:pPr>
              <w:pStyle w:val="TableContents"/>
              <w:bidi w:val="0"/>
              <w:spacing w:before="0" w:after="0"/>
              <w:jc w:val="right"/>
              <w:rPr>
                <w:color w:val="000000"/>
              </w:rPr>
            </w:pPr>
            <w:r>
              <w:rPr>
                <w:color w:val="000000"/>
              </w:rPr>
              <w:t>200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455" w:type="dxa"/>
            <w:tcBorders/>
            <w:shd w:fill="CCEEFF" w:val="clear"/>
            <w:vAlign w:val="bottom"/>
          </w:tcPr>
          <w:p>
            <w:pPr>
              <w:pStyle w:val="TableContents"/>
              <w:bidi w:val="0"/>
              <w:spacing w:before="0" w:after="0"/>
              <w:jc w:val="right"/>
              <w:rPr>
                <w:color w:val="000000"/>
              </w:rPr>
            </w:pPr>
            <w:r>
              <w:rPr>
                <w:color w:val="000000"/>
              </w:rPr>
              <w:t>360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35" w:type="dxa"/>
            <w:tcBorders/>
            <w:shd w:fill="CCEEFF" w:val="clear"/>
            <w:vAlign w:val="bottom"/>
          </w:tcPr>
          <w:p>
            <w:pPr>
              <w:pStyle w:val="TableContents"/>
              <w:bidi w:val="0"/>
              <w:spacing w:before="0" w:after="0"/>
              <w:jc w:val="right"/>
              <w:rPr>
                <w:color w:val="000000"/>
              </w:rPr>
            </w:pPr>
            <w:r>
              <w:rPr>
                <w:color w:val="000000"/>
              </w:rPr>
              <w:t>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720" w:right="0" w:hanging="0"/>
        <w:jc w:val="left"/>
        <w:rPr/>
      </w:pPr>
      <w:r>
        <w:rPr/>
      </w:r>
    </w:p>
    <w:p>
      <w:pPr>
        <w:pStyle w:val="TextBody"/>
        <w:bidi w:val="0"/>
        <w:spacing w:before="0" w:after="0"/>
        <w:ind w:left="720" w:right="0" w:hanging="0"/>
        <w:jc w:val="left"/>
        <w:rPr>
          <w:rFonts w:ascii="Times New Roman" w:hAnsi="Times New Roman"/>
          <w:i/>
          <w:color w:val="000000"/>
          <w:sz w:val="20"/>
        </w:rPr>
      </w:pPr>
      <w:r>
        <w:rPr>
          <w:rFonts w:ascii="Times New Roman" w:hAnsi="Times New Roman"/>
          <w:i/>
          <w:color w:val="000000"/>
          <w:sz w:val="20"/>
        </w:rPr>
        <w:t>(continued)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Normal"/>
        <w:bidi w:val="0"/>
        <w:spacing w:before="0" w:after="0"/>
        <w:ind w:left="720" w:right="0" w:hanging="0"/>
        <w:jc w:val="left"/>
        <w:rPr>
          <w:sz w:val="4"/>
          <w:szCs w:val="4"/>
        </w:rPr>
      </w:pPr>
      <w:r>
        <w:rPr>
          <w:sz w:val="4"/>
          <w:szCs w:val="4"/>
        </w:rPr>
      </w:r>
      <w:bookmarkStart w:id="50" w:name="z83a46611b6e64bcc9ec90727b5dd3b1c"/>
      <w:bookmarkStart w:id="51" w:name="z83a46611b6e64bcc9ec90727b5dd3b1c"/>
      <w:bookmarkEnd w:id="51"/>
    </w:p>
    <w:tbl>
      <w:tblPr>
        <w:tblW w:w="10535" w:type="dxa"/>
        <w:jc w:val="left"/>
        <w:tblInd w:w="720" w:type="dxa"/>
        <w:tblLayout w:type="fixed"/>
        <w:tblCellMar>
          <w:top w:w="0" w:type="dxa"/>
          <w:left w:w="0" w:type="dxa"/>
          <w:bottom w:w="0" w:type="dxa"/>
          <w:right w:w="0" w:type="dxa"/>
        </w:tblCellMar>
      </w:tblPr>
      <w:tblGrid>
        <w:gridCol w:w="1310"/>
        <w:gridCol w:w="60"/>
        <w:gridCol w:w="140"/>
        <w:gridCol w:w="635"/>
        <w:gridCol w:w="95"/>
        <w:gridCol w:w="60"/>
        <w:gridCol w:w="140"/>
        <w:gridCol w:w="635"/>
        <w:gridCol w:w="95"/>
        <w:gridCol w:w="60"/>
        <w:gridCol w:w="140"/>
        <w:gridCol w:w="635"/>
        <w:gridCol w:w="95"/>
        <w:gridCol w:w="60"/>
        <w:gridCol w:w="140"/>
        <w:gridCol w:w="635"/>
        <w:gridCol w:w="95"/>
        <w:gridCol w:w="60"/>
        <w:gridCol w:w="140"/>
        <w:gridCol w:w="635"/>
        <w:gridCol w:w="95"/>
        <w:gridCol w:w="60"/>
        <w:gridCol w:w="140"/>
        <w:gridCol w:w="635"/>
        <w:gridCol w:w="95"/>
        <w:gridCol w:w="60"/>
        <w:gridCol w:w="140"/>
        <w:gridCol w:w="635"/>
        <w:gridCol w:w="95"/>
        <w:gridCol w:w="60"/>
        <w:gridCol w:w="140"/>
        <w:gridCol w:w="635"/>
        <w:gridCol w:w="95"/>
        <w:gridCol w:w="60"/>
        <w:gridCol w:w="140"/>
        <w:gridCol w:w="635"/>
        <w:gridCol w:w="95"/>
        <w:gridCol w:w="60"/>
        <w:gridCol w:w="140"/>
        <w:gridCol w:w="560"/>
        <w:gridCol w:w="95"/>
      </w:tblGrid>
      <w:tr>
        <w:trPr/>
        <w:tc>
          <w:tcPr>
            <w:tcW w:w="13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070" w:type="dxa"/>
            <w:gridSpan w:val="38"/>
            <w:tcBorders>
              <w:bottom w:val="single" w:sz="12" w:space="0" w:color="000000"/>
            </w:tcBorders>
            <w:tcMar>
              <w:bottom w:w="28" w:type="dxa"/>
            </w:tcMar>
            <w:vAlign w:val="bottom"/>
          </w:tcPr>
          <w:p>
            <w:pPr>
              <w:pStyle w:val="TableContents"/>
              <w:bidi w:val="0"/>
              <w:spacing w:before="0" w:after="0"/>
              <w:jc w:val="center"/>
              <w:rPr>
                <w:b/>
                <w:i/>
              </w:rPr>
            </w:pPr>
            <w:r>
              <w:rPr>
                <w:b/>
                <w:i/>
              </w:rPr>
              <w:t>Fiscal year ended December 31,</w:t>
            </w:r>
          </w:p>
        </w:tc>
        <w:tc>
          <w:tcPr>
            <w:tcW w:w="95"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2045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2046</w:t>
            </w:r>
          </w:p>
        </w:tc>
        <w:tc>
          <w:tcPr>
            <w:tcW w:w="9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pPr>
            <w:r>
              <w:rPr/>
              <w:t>Net Sales(1)</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8,889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9,320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7,137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6,841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5,912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5,529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5,227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4,852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2,780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1,298</w:t>
            </w:r>
          </w:p>
        </w:tc>
        <w:tc>
          <w:tcPr>
            <w:tcW w:w="9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180" w:right="0" w:hanging="0"/>
              <w:jc w:val="left"/>
              <w:rPr>
                <w:b/>
                <w:u w:val="single"/>
                <w:bdr w:val="single" w:sz="2" w:space="1" w:color="000000"/>
              </w:rPr>
            </w:pPr>
            <w:r>
              <w:rPr>
                <w:b/>
                <w:u w:val="single"/>
                <w:bdr w:val="single" w:sz="2" w:space="1" w:color="000000"/>
              </w:rPr>
              <w:t>COGS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(386</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(406</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(315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(304</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(265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(245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(228</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(210</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(145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before="0" w:after="0"/>
              <w:jc w:val="right"/>
              <w:rPr>
                <w:b/>
              </w:rPr>
            </w:pPr>
            <w:r>
              <w:rPr>
                <w:b/>
              </w:rPr>
              <w:t>(94</w:t>
            </w:r>
          </w:p>
        </w:tc>
        <w:tc>
          <w:tcPr>
            <w:tcW w:w="95" w:type="dxa"/>
            <w:tcBorders/>
            <w:vAlign w:val="bottom"/>
          </w:tcPr>
          <w:p>
            <w:pPr>
              <w:pStyle w:val="TableContents"/>
              <w:bidi w:val="0"/>
              <w:spacing w:before="0" w:after="0"/>
              <w:jc w:val="left"/>
              <w:rPr>
                <w:b/>
              </w:rPr>
            </w:pPr>
            <w:r>
              <w:rPr>
                <w:b/>
              </w:rPr>
              <w:t>)</w:t>
            </w:r>
          </w:p>
        </w:tc>
      </w:tr>
      <w:tr>
        <w:trPr/>
        <w:tc>
          <w:tcPr>
            <w:tcW w:w="1310" w:type="dxa"/>
            <w:tcBorders/>
            <w:shd w:fill="CCEEFF" w:val="clear"/>
            <w:vAlign w:val="bottom"/>
          </w:tcPr>
          <w:p>
            <w:pPr>
              <w:pStyle w:val="TableContents"/>
              <w:bidi w:val="0"/>
              <w:spacing w:before="0" w:after="0"/>
              <w:ind w:left="180" w:right="0" w:hanging="0"/>
              <w:jc w:val="left"/>
              <w:rPr>
                <w:b/>
                <w:u w:val="single"/>
                <w:bdr w:val="single" w:sz="2" w:space="1" w:color="000000"/>
              </w:rPr>
            </w:pPr>
            <w:r>
              <w:rPr>
                <w:b/>
                <w:u w:val="single"/>
                <w:bdr w:val="single" w:sz="2" w:space="1" w:color="000000"/>
              </w:rPr>
              <w:t>Royalties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(589</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(603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(440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(410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(372</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(353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(338</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(319</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(97</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(6</w:t>
            </w:r>
          </w:p>
        </w:tc>
        <w:tc>
          <w:tcPr>
            <w:tcW w:w="95" w:type="dxa"/>
            <w:tcBorders/>
            <w:shd w:fill="CCEEFF" w:val="clear"/>
            <w:vAlign w:val="bottom"/>
          </w:tcPr>
          <w:p>
            <w:pPr>
              <w:pStyle w:val="TableContents"/>
              <w:bidi w:val="0"/>
              <w:spacing w:before="0" w:after="0"/>
              <w:jc w:val="left"/>
              <w:rPr>
                <w:b/>
              </w:rPr>
            </w:pPr>
            <w:r>
              <w:rPr>
                <w:b/>
              </w:rPr>
              <w:t>)</w:t>
            </w:r>
          </w:p>
        </w:tc>
      </w:tr>
      <w:tr>
        <w:trPr/>
        <w:tc>
          <w:tcPr>
            <w:tcW w:w="1310" w:type="dxa"/>
            <w:tcBorders/>
            <w:vAlign w:val="bottom"/>
          </w:tcPr>
          <w:p>
            <w:pPr>
              <w:pStyle w:val="TableContents"/>
              <w:bidi w:val="0"/>
              <w:spacing w:before="0" w:after="0"/>
              <w:jc w:val="left"/>
              <w:rPr/>
            </w:pPr>
            <w:r>
              <w:rPr/>
              <w:t>Gross Profit(2)</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7,915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8,310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6,382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6,128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5,275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4,931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4,661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4,324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2,537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560" w:type="dxa"/>
            <w:tcBorders/>
            <w:vAlign w:val="bottom"/>
          </w:tcPr>
          <w:p>
            <w:pPr>
              <w:pStyle w:val="TableContents"/>
              <w:bidi w:val="0"/>
              <w:spacing w:before="0" w:after="0"/>
              <w:jc w:val="right"/>
              <w:rPr/>
            </w:pPr>
            <w:r>
              <w:rPr/>
              <w:t>1,198</w:t>
            </w:r>
          </w:p>
        </w:tc>
        <w:tc>
          <w:tcPr>
            <w:tcW w:w="9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180" w:right="0" w:hanging="0"/>
              <w:jc w:val="left"/>
              <w:rPr>
                <w:b/>
                <w:u w:val="single"/>
                <w:bdr w:val="single" w:sz="2" w:space="1" w:color="000000"/>
              </w:rPr>
            </w:pPr>
            <w:r>
              <w:rPr>
                <w:b/>
                <w:u w:val="single"/>
                <w:bdr w:val="single" w:sz="2" w:space="1" w:color="000000"/>
              </w:rPr>
              <w:t>R&amp;D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(20</w:t>
            </w:r>
          </w:p>
        </w:tc>
        <w:tc>
          <w:tcPr>
            <w:tcW w:w="95" w:type="dxa"/>
            <w:tcBorders/>
            <w:shd w:fill="CCEEFF" w:val="clear"/>
            <w:vAlign w:val="bottom"/>
          </w:tcPr>
          <w:p>
            <w:pPr>
              <w:pStyle w:val="TableContents"/>
              <w:bidi w:val="0"/>
              <w:spacing w:before="0" w:after="0"/>
              <w:jc w:val="left"/>
              <w:rPr>
                <w:b/>
              </w:rPr>
            </w:pPr>
            <w:r>
              <w:rPr>
                <w:b/>
              </w:rPr>
              <w:t>)</w:t>
            </w:r>
          </w:p>
        </w:tc>
      </w:tr>
      <w:tr>
        <w:trPr/>
        <w:tc>
          <w:tcPr>
            <w:tcW w:w="1310" w:type="dxa"/>
            <w:tcBorders/>
            <w:vAlign w:val="bottom"/>
          </w:tcPr>
          <w:p>
            <w:pPr>
              <w:pStyle w:val="TableContents"/>
              <w:bidi w:val="0"/>
              <w:spacing w:before="0" w:after="0"/>
              <w:ind w:left="360" w:right="0" w:hanging="180"/>
              <w:jc w:val="left"/>
              <w:rPr>
                <w:b/>
                <w:u w:val="single"/>
                <w:bdr w:val="single" w:sz="2" w:space="1" w:color="000000"/>
              </w:rPr>
            </w:pPr>
            <w:r>
              <w:rPr>
                <w:b/>
                <w:u w:val="single"/>
                <w:bdr w:val="single" w:sz="2" w:space="1" w:color="000000"/>
              </w:rPr>
              <w:t>SG&amp;A and Commercial</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(2,672</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(2,807</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(2,402</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(2,390</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(2,238</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(2,205</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(2,191</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(2,161</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tcMar>
              <w:bottom w:w="28" w:type="dxa"/>
            </w:tcMar>
            <w:vAlign w:val="bottom"/>
          </w:tcPr>
          <w:p>
            <w:pPr>
              <w:pStyle w:val="TableContents"/>
              <w:bidi w:val="0"/>
              <w:spacing w:before="0" w:after="0"/>
              <w:jc w:val="right"/>
              <w:rPr>
                <w:b/>
              </w:rPr>
            </w:pPr>
            <w:r>
              <w:rPr>
                <w:b/>
              </w:rPr>
              <w:t>(1,238</w:t>
            </w:r>
          </w:p>
        </w:tc>
        <w:tc>
          <w:tcPr>
            <w:tcW w:w="95"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tcMar>
              <w:bottom w:w="28" w:type="dxa"/>
            </w:tcMar>
            <w:vAlign w:val="bottom"/>
          </w:tcPr>
          <w:p>
            <w:pPr>
              <w:pStyle w:val="TableContents"/>
              <w:bidi w:val="0"/>
              <w:spacing w:before="0" w:after="0"/>
              <w:jc w:val="right"/>
              <w:rPr>
                <w:b/>
              </w:rPr>
            </w:pPr>
            <w:r>
              <w:rPr>
                <w:b/>
              </w:rPr>
              <w:t>(577</w:t>
            </w:r>
          </w:p>
        </w:tc>
        <w:tc>
          <w:tcPr>
            <w:tcW w:w="95" w:type="dxa"/>
            <w:tcBorders/>
            <w:vAlign w:val="bottom"/>
          </w:tcPr>
          <w:p>
            <w:pPr>
              <w:pStyle w:val="TableContents"/>
              <w:bidi w:val="0"/>
              <w:spacing w:before="0" w:after="0"/>
              <w:jc w:val="left"/>
              <w:rPr>
                <w:b/>
              </w:rPr>
            </w:pPr>
            <w:r>
              <w:rPr>
                <w:b/>
              </w:rPr>
              <w:t>)</w:t>
            </w:r>
          </w:p>
        </w:tc>
      </w:tr>
      <w:tr>
        <w:trPr/>
        <w:tc>
          <w:tcPr>
            <w:tcW w:w="1310" w:type="dxa"/>
            <w:tcBorders/>
            <w:shd w:fill="CCEEFF" w:val="clear"/>
            <w:vAlign w:val="bottom"/>
          </w:tcPr>
          <w:p>
            <w:pPr>
              <w:pStyle w:val="TableContents"/>
              <w:bidi w:val="0"/>
              <w:spacing w:before="0" w:after="0"/>
              <w:ind w:left="360" w:right="0" w:hanging="180"/>
              <w:jc w:val="left"/>
              <w:rPr>
                <w:b/>
                <w:u w:val="single"/>
                <w:bdr w:val="single" w:sz="2" w:space="1" w:color="000000"/>
              </w:rPr>
            </w:pPr>
            <w:r>
              <w:rPr>
                <w:b/>
                <w:u w:val="single"/>
                <w:bdr w:val="single" w:sz="2" w:space="1" w:color="000000"/>
              </w:rPr>
              <w:t>Stock-Based Compensation</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(441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(463</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(397</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(395</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(366</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(357</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(351</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(340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635"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(210</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b/>
              </w:rPr>
            </w:pPr>
            <w:r>
              <w:rPr>
                <w:b/>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b/>
              </w:rPr>
            </w:pPr>
            <w:r>
              <w:rPr>
                <w:b/>
              </w:rPr>
              <w:t>(100</w:t>
            </w:r>
          </w:p>
        </w:tc>
        <w:tc>
          <w:tcPr>
            <w:tcW w:w="95" w:type="dxa"/>
            <w:tcBorders/>
            <w:shd w:fill="CCEEFF" w:val="clear"/>
            <w:vAlign w:val="bottom"/>
          </w:tcPr>
          <w:p>
            <w:pPr>
              <w:pStyle w:val="TableContents"/>
              <w:bidi w:val="0"/>
              <w:spacing w:before="0" w:after="0"/>
              <w:jc w:val="left"/>
              <w:rPr>
                <w:b/>
              </w:rPr>
            </w:pPr>
            <w:r>
              <w:rPr>
                <w:b/>
              </w:rPr>
              <w:t>)</w:t>
            </w:r>
          </w:p>
        </w:tc>
      </w:tr>
      <w:tr>
        <w:trPr/>
        <w:tc>
          <w:tcPr>
            <w:tcW w:w="1310" w:type="dxa"/>
            <w:tcBorders/>
            <w:vAlign w:val="bottom"/>
          </w:tcPr>
          <w:p>
            <w:pPr>
              <w:pStyle w:val="TableContents"/>
              <w:bidi w:val="0"/>
              <w:spacing w:before="0" w:after="0"/>
              <w:jc w:val="left"/>
              <w:rPr/>
            </w:pPr>
            <w:r>
              <w:rPr/>
              <w:t>Total Operating Income(3)</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4,782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5,020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3,563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3,323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2,651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2,349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2,100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1,803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1,069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560" w:type="dxa"/>
            <w:tcBorders/>
            <w:vAlign w:val="bottom"/>
          </w:tcPr>
          <w:p>
            <w:pPr>
              <w:pStyle w:val="TableContents"/>
              <w:bidi w:val="0"/>
              <w:spacing w:before="0" w:after="0"/>
              <w:jc w:val="right"/>
              <w:rPr/>
            </w:pPr>
            <w:r>
              <w:rPr/>
              <w:t>500</w:t>
            </w:r>
          </w:p>
        </w:tc>
        <w:tc>
          <w:tcPr>
            <w:tcW w:w="9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pPr>
            <w:r>
              <w:rPr/>
              <w:t>NOPAT(4)</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3,539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3,715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2,637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2,459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1,962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1,738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1,554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1,334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791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370</w:t>
            </w:r>
          </w:p>
        </w:tc>
        <w:tc>
          <w:tcPr>
            <w:tcW w:w="9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jc w:val="left"/>
              <w:rPr/>
            </w:pPr>
            <w:r>
              <w:rPr/>
              <w:t>Unlevered Free Cash Flow(5)</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3,472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3,672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2,855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2,489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2,055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1,776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1,584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1,372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998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560" w:type="dxa"/>
            <w:tcBorders/>
            <w:vAlign w:val="bottom"/>
          </w:tcPr>
          <w:p>
            <w:pPr>
              <w:pStyle w:val="TableContents"/>
              <w:bidi w:val="0"/>
              <w:spacing w:before="0" w:after="0"/>
              <w:jc w:val="right"/>
              <w:rPr/>
            </w:pPr>
            <w:r>
              <w:rPr/>
              <w:t>518</w:t>
            </w:r>
          </w:p>
        </w:tc>
        <w:tc>
          <w:tcPr>
            <w:tcW w:w="9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pPr>
            <w:r>
              <w:rPr/>
              <w:t>Cash Flow From Blackstone(6)</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35"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72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smallCaps/>
          <w:color w:val="000000"/>
          <w:sz w:val="20"/>
        </w:rPr>
      </w:pPr>
      <w:r>
        <w:rPr>
          <w:rFonts w:ascii="Times New Roman" w:hAnsi="Times New Roman"/>
          <w:b/>
          <w:smallCaps/>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Definitive Additional Materials contain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these Definitive Additional Materials are forward-looking. In many cases, you can identify forward-looking statements by terminology, such as “may,” “should,” “expects,” “intends,” “plans,” “anticipates,” “believes,” “estimates,” “predicts,” “potential,” “continue” or the negative of such terms and other comparable terminology. Statements in these Definitive Additional Materials that are forward-looking may include, but are not limited to, statements regarding anticipated future operating performance and results of Apogee, the expected timing of the closing of the proposed acquisition and other transactions contemplated by the Merger Agreement, and the potential of zumilokibart (APG777) and other Apogee’s pipeline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some restrictions during the pendency of the proposed transaction may impact Apogee’s ability to pursue some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pStyle w:val="TextBody"/>
        <w:bidi w:val="0"/>
        <w:spacing w:before="0" w:after="0"/>
        <w:jc w:val="left"/>
        <w:rPr/>
      </w:pPr>
      <w:r>
        <w:rPr/>
      </w:r>
    </w:p>
    <w:p>
      <w:pPr>
        <w:pStyle w:val="TextBody"/>
        <w:bidi w:val="0"/>
        <w:spacing w:before="0" w:after="0"/>
        <w:jc w:val="both"/>
        <w:rPr/>
      </w:pPr>
      <w:r>
        <w:rPr>
          <w:rFonts w:ascii="Times New Roman" w:hAnsi="Times New Roman"/>
          <w:color w:val="000000"/>
          <w:sz w:val="20"/>
        </w:rPr>
        <w:t xml:space="preserve">Also, AbbVie’s and Apogee’s actual results may differ materially from those contemplated by the forward-looking statements for a number of additional reasons as described in AbbVie’s and Apogee’s filings with the SEC, including those set forth in the Risk Factors section and under any “Forward-Looking Statements” or similar heading in AbbVie’s and Apogee’s most recently filed Annual Report on Form 10-K filed on </w:t>
      </w:r>
      <w:hyperlink r:id="rId3">
        <w:r>
          <w:rPr>
            <w:rStyle w:val="InternetLink"/>
          </w:rPr>
          <w:t>February 20, 2026</w:t>
        </w:r>
      </w:hyperlink>
      <w:r>
        <w:rPr>
          <w:rFonts w:ascii="Times New Roman" w:hAnsi="Times New Roman"/>
          <w:color w:val="000000"/>
          <w:sz w:val="20"/>
        </w:rPr>
        <w:t xml:space="preserve">, and </w:t>
      </w:r>
      <w:hyperlink r:id="rId4">
        <w:r>
          <w:rPr>
            <w:rStyle w:val="InternetLink"/>
          </w:rPr>
          <w:t>March 2, 2026,</w:t>
        </w:r>
      </w:hyperlink>
      <w:r>
        <w:rPr>
          <w:rFonts w:ascii="Times New Roman" w:hAnsi="Times New Roman"/>
          <w:color w:val="000000"/>
          <w:sz w:val="20"/>
        </w:rPr>
        <w:t xml:space="preserve"> respectively, and subsequent Quarterly Reports on Form 10-Q and Current Reports on Form 8-K.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14</w:t>
      </w:r>
      <w:r>
        <w:rPr>
          <w:rFonts w:ascii="Times New Roman" w:hAnsi="Times New Roman"/>
          <w:color w:val="000000"/>
          <w:sz w:val="20"/>
        </w:rPr>
        <w:t xml:space="preserve"> </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551152/000155115226000008/abbv-20251231.htm" TargetMode="External"/><Relationship Id="rId4" Type="http://schemas.openxmlformats.org/officeDocument/2006/relationships/hyperlink" Target="https://www.sec.gov/ix?doc=/Archives/edgar/data/0001974640/000197464026000002/apge-2025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7546</Words>
  <Characters>39936</Characters>
  <CharactersWithSpaces>46990</CharactersWithSpaces>
  <Paragraphs>1437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