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546-1_4seq1.xml.htm"/>
      <w:bookmarkStart w:id="1" w:name="kstm2622546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Dambkowski Carl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APOGEE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LETTERMAN DRIVE, BUILDING 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94129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Apogee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APGE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4,125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22.86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173,998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134.17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168,498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22.86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12/18/2033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110,665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Rule 10b5-1 trading plan adopted on September 22,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represents the right to purchase 175,345 shares of the Issuer's common stock, which will vest in forty-eight equal monthly installments through December 18, 2027, subject to the Reporting Person's continued service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Batters, as attorney-in-fact for Carl Dambkowski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83476" TargetMode="External"/><Relationship Id="rId5" Type="http://schemas.openxmlformats.org/officeDocument/2006/relationships/hyperlink" Target="http://www.sec.gov/cgi-bin/browse-edgar?action=getcompany&amp;CIK=00019746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3559</Characters>
  <CharactersWithSpaces>4122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