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9550_defa14a.htm"/>
      <w:bookmarkStart w:id="1" w:name="ksef20079550_defa14a"/>
      <w:bookmarkStart w:id="2" w:name="ef20079550_defa14a.htm"/>
      <w:bookmarkStart w:id="3" w:name="ksef20079550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 14a-101)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79df4cfe937c4d58914edcd7fc07cceb"/>
      <w:bookmarkStart w:id="5" w:name="z79df4cfe937c4d58914edcd7fc07cceb"/>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both"/>
              <w:rPr/>
            </w:pPr>
            <w:r>
              <w:rPr/>
              <w:t>Preliminary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ceaf4b6d3e884ed2a3f954eb3372f9a6"/>
      <w:bookmarkStart w:id="7" w:name="zceaf4b6d3e884ed2a3f954eb3372f9a6"/>
      <w:bookmarkEnd w:id="7"/>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both"/>
              <w:rPr>
                <w:b/>
              </w:rPr>
            </w:pPr>
            <w:r>
              <w:rPr>
                <w:b/>
              </w:rPr>
              <w:t>Confidential, for Use of the Commission Only (as permitted by Rule 14a-6(e)(2))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cf4bcfd74d654108bc9d0ccc588f4fe7"/>
      <w:bookmarkStart w:id="9" w:name="zcf4bcfd74d654108bc9d0ccc588f4fe7"/>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both"/>
              <w:rPr/>
            </w:pPr>
            <w:r>
              <w:rPr/>
              <w:t>Definitive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77ec2d1a73c34ffd848b82198108c37f"/>
      <w:bookmarkStart w:id="11" w:name="z77ec2d1a73c34ffd848b82198108c37f"/>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both"/>
              <w:rPr/>
            </w:pPr>
            <w:r>
              <w:rPr/>
              <w:t>Definitive Additional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daaa78aeb30a45e398e6e6949662f12c"/>
      <w:bookmarkStart w:id="13" w:name="zdaaa78aeb30a45e398e6e6949662f12c"/>
      <w:bookmarkEnd w:id="13"/>
    </w:p>
    <w:tbl>
      <w:tblPr>
        <w:tblW w:w="5050" w:type="dxa"/>
        <w:jc w:val="left"/>
        <w:tblInd w:w="0" w:type="dxa"/>
        <w:tblLayout w:type="fixed"/>
        <w:tblCellMar>
          <w:top w:w="0" w:type="dxa"/>
          <w:left w:w="0" w:type="dxa"/>
          <w:bottom w:w="0" w:type="dxa"/>
          <w:right w:w="0" w:type="dxa"/>
        </w:tblCellMar>
      </w:tblPr>
      <w:tblGrid>
        <w:gridCol w:w="245"/>
        <w:gridCol w:w="4805"/>
      </w:tblGrid>
      <w:tr>
        <w:trPr/>
        <w:tc>
          <w:tcPr>
            <w:tcW w:w="245"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0"/>
              <w:jc w:val="both"/>
              <w:rPr/>
            </w:pPr>
            <w:r>
              <w:rPr/>
              <w:t>Soliciting Material Pursuant to Section 240.14a-12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e5b9d205f3804277ab09f5a694ec4bee"/>
      <w:bookmarkStart w:id="15" w:name="ze5b9d205f3804277ab09f5a694ec4bee"/>
      <w:bookmarkEnd w:id="15"/>
    </w:p>
    <w:tbl>
      <w:tblPr>
        <w:tblW w:w="5360" w:type="dxa"/>
        <w:jc w:val="left"/>
        <w:tblInd w:w="0" w:type="dxa"/>
        <w:tblLayout w:type="fixed"/>
        <w:tblCellMar>
          <w:top w:w="0" w:type="dxa"/>
          <w:left w:w="0" w:type="dxa"/>
          <w:bottom w:w="28" w:type="dxa"/>
          <w:right w:w="0" w:type="dxa"/>
        </w:tblCellMar>
      </w:tblPr>
      <w:tblGrid>
        <w:gridCol w:w="5360"/>
      </w:tblGrid>
      <w:tr>
        <w:trPr/>
        <w:tc>
          <w:tcPr>
            <w:tcW w:w="5360" w:type="dxa"/>
            <w:tcBorders>
              <w:bottom w:val="single" w:sz="12" w:space="0" w:color="000000"/>
            </w:tcBorders>
            <w:vAlign w:val="center"/>
          </w:tcPr>
          <w:p>
            <w:pPr>
              <w:pStyle w:val="TableContents"/>
              <w:bidi w:val="0"/>
              <w:spacing w:before="0" w:after="0"/>
              <w:jc w:val="center"/>
              <w:rPr>
                <w:b/>
                <w:sz w:val="48"/>
              </w:rPr>
            </w:pPr>
            <w:r>
              <w:rPr>
                <w:b/>
                <w:sz w:val="48"/>
              </w:rPr>
              <w:t>Apogee Therapeutics, Inc.</w:t>
            </w:r>
          </w:p>
        </w:tc>
      </w:tr>
      <w:tr>
        <w:trPr/>
        <w:tc>
          <w:tcPr>
            <w:tcW w:w="5360" w:type="dxa"/>
            <w:tcBorders/>
            <w:tcMar>
              <w:bottom w:w="0" w:type="dxa"/>
            </w:tcMar>
            <w:vAlign w:val="center"/>
          </w:tcPr>
          <w:p>
            <w:pPr>
              <w:pStyle w:val="TableContents"/>
              <w:bidi w:val="0"/>
              <w:spacing w:before="0" w:after="0"/>
              <w:jc w:val="center"/>
              <w:rPr/>
            </w:pPr>
            <w:r>
              <w:rPr/>
              <w:t>(Name of Registrant as Specified In Its Charter)</w:t>
            </w:r>
          </w:p>
        </w:tc>
      </w:tr>
    </w:tbl>
    <w:p>
      <w:pPr>
        <w:pStyle w:val="TextBody"/>
        <w:bidi w:val="0"/>
        <w:spacing w:before="0" w:after="0"/>
        <w:jc w:val="left"/>
        <w:rPr/>
      </w:pPr>
      <w:r>
        <w:rPr/>
      </w:r>
    </w:p>
    <w:tbl>
      <w:tblPr>
        <w:tblW w:w="6800" w:type="dxa"/>
        <w:jc w:val="left"/>
        <w:tblInd w:w="0" w:type="dxa"/>
        <w:tblLayout w:type="fixed"/>
        <w:tblCellMar>
          <w:top w:w="0" w:type="dxa"/>
          <w:left w:w="0" w:type="dxa"/>
          <w:bottom w:w="28" w:type="dxa"/>
          <w:right w:w="0" w:type="dxa"/>
        </w:tblCellMar>
      </w:tblPr>
      <w:tblGrid>
        <w:gridCol w:w="6800"/>
      </w:tblGrid>
      <w:tr>
        <w:trPr/>
        <w:tc>
          <w:tcPr>
            <w:tcW w:w="6800" w:type="dxa"/>
            <w:tcBorders>
              <w:bottom w:val="single" w:sz="12" w:space="0" w:color="000000"/>
            </w:tcBorders>
            <w:vAlign w:val="center"/>
          </w:tcPr>
          <w:p>
            <w:pPr>
              <w:pStyle w:val="TableContents"/>
              <w:bidi w:val="0"/>
              <w:spacing w:before="0" w:after="0"/>
              <w:jc w:val="center"/>
              <w:rPr>
                <w:b/>
              </w:rPr>
            </w:pPr>
            <w:r>
              <w:rPr>
                <w:b/>
              </w:rPr>
              <w:t>Not applicable</w:t>
            </w:r>
          </w:p>
        </w:tc>
      </w:tr>
      <w:tr>
        <w:trPr/>
        <w:tc>
          <w:tcPr>
            <w:tcW w:w="6800" w:type="dxa"/>
            <w:tcBorders/>
            <w:tcMar>
              <w:bottom w:w="0" w:type="dxa"/>
            </w:tcMar>
            <w:vAlign w:val="center"/>
          </w:tcPr>
          <w:p>
            <w:pPr>
              <w:pStyle w:val="TableContents"/>
              <w:bidi w:val="0"/>
              <w:spacing w:before="0" w:after="0"/>
              <w:jc w:val="center"/>
              <w:rPr/>
            </w:pPr>
            <w:r>
              <w:rPr/>
              <w:t>(Name of Person(s) Filing Proxy Statement, if other than the Registrant)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d179a188aad64cc4964ab0d934f3a169"/>
      <w:bookmarkStart w:id="17" w:name="zd179a188aad64cc4964ab0d934f3a169"/>
      <w:bookmarkEnd w:id="17"/>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0"/>
              <w:jc w:val="both"/>
              <w:rPr/>
            </w:pPr>
            <w:r>
              <w:rPr/>
              <w:t>No fee required.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ea2c369e5a554ad9a47303222c49e53d"/>
      <w:bookmarkStart w:id="19" w:name="zea2c369e5a554ad9a47303222c49e53d"/>
      <w:bookmarkEnd w:id="19"/>
    </w:p>
    <w:tbl>
      <w:tblPr>
        <w:tblW w:w="4720" w:type="dxa"/>
        <w:jc w:val="left"/>
        <w:tblInd w:w="0" w:type="dxa"/>
        <w:tblLayout w:type="fixed"/>
        <w:tblCellMar>
          <w:top w:w="0" w:type="dxa"/>
          <w:left w:w="0" w:type="dxa"/>
          <w:bottom w:w="0" w:type="dxa"/>
          <w:right w:w="0" w:type="dxa"/>
        </w:tblCellMar>
      </w:tblPr>
      <w:tblGrid>
        <w:gridCol w:w="245"/>
        <w:gridCol w:w="4475"/>
      </w:tblGrid>
      <w:tr>
        <w:trPr/>
        <w:tc>
          <w:tcPr>
            <w:tcW w:w="24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0"/>
              <w:jc w:val="both"/>
              <w:rPr/>
            </w:pPr>
            <w:r>
              <w:rPr/>
              <w:t>Fee paid previously with preliminary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3629ccf638e541719d572e5f4aa60d71"/>
      <w:bookmarkStart w:id="21" w:name="z3629ccf638e541719d572e5f4aa60d71"/>
      <w:bookmarkEnd w:id="21"/>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0"/>
              <w:jc w:val="both"/>
              <w:rPr/>
            </w:pPr>
            <w:r>
              <w:rPr/>
              <w:t>Fee computed on table in exhibit required by Item 25(b) per Exchange Act Rules 14a-6(i)(1) and 0-11.</w:t>
            </w:r>
          </w:p>
        </w:tc>
      </w:tr>
    </w:tbl>
    <w:p>
      <w:pPr>
        <w:pStyle w:val="TextBody"/>
        <w:bidi w:val="0"/>
        <w:spacing w:before="0" w:after="0"/>
        <w:jc w:val="left"/>
        <w:rPr>
          <w:color w:val="000000"/>
        </w:rPr>
      </w:pPr>
      <w:r>
        <w:rPr>
          <w:color w:val="000000"/>
        </w:rPr>
        <w:t>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21145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6477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One Letterman Drive, Building B, Suites B6-850 and B6-800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Presidio of San Francisco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San Francisco, California 94129-1492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(650) 394-5230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SUPPLEMENT TO THE PROXY STATEMENT FOR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SPECIAL MEETING OF STOCKHOLDERS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 BE HELD AUGUST 11, 2026</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August 6,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definitive additional materials (these “Definitive Additional Materials”) amend and supplement the definitive proxy statement, dated July 13, 2026 (as amended and supplemented, the “Definitive Proxy Statement”), initially mailed to stockholders on or about July 14, 2026, by Apogee Therapeutics, Inc., a Delaware corporation (“Apogee,” the “Company,” “we,” “us” or “our”), for a special meeting of our stockholders (the “Special Meeting”) to be held virtually on August 11, 2026, at 9:00 a.m., Eastern time. The purpose of the Special Meeting is to consider and vote upon, among other things, the proposal to adopt the Agreement and Plan of Merger (the “Merger Agreement”), dated June 18, 2026, among Apogee, Andor LLC (“Parent”), a Delaware limited liability company and a wholly owned subsidiary of AbbVie Inc. (“AbbVie”), Andor Merger Co. (“Merger Sub”), a Delaware corporation and wholly owned subsidiary of Parent and, solely for the limited purposes set forth in the Merger Agreement, AbbVie, a Delaware corporation. Pursuant to the terms and subject to the conditions of the Merger Agreement, Merger Sub will merge with and into Apogee (the “Merger”), with Apogee surviving the Merger as an indirect wholly owned subsidiary of AbbVie.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Definitive Additional Materials have been filed by Apogee with the United States Securities and Exchange Commission (the “SEC”) on August 6,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If any stockholders have not already submitted a proxy for use at the Special Meeting, they are urged to do so promptly. No action in connection with this supplement is required by any stockholder who has previously delivered a proxy and who does not wish to revoke or change that proxy.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any stockholders have more questions about the Merger or how to submit their proxies or if any stockholders need additional copies of the proxy statement, this supplement, the proxy card or voting instructions, please contact our Proxy Solicitor: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INNISFREE M&amp;A INCORPORATED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500 Fifth Avenue, 21st Floor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New York, NY 10110</w:t>
      </w:r>
    </w:p>
    <w:p>
      <w:pPr>
        <w:pStyle w:val="Normal"/>
        <w:bidi w:val="0"/>
        <w:spacing w:before="0" w:after="0"/>
        <w:jc w:val="left"/>
        <w:rPr>
          <w:sz w:val="4"/>
          <w:szCs w:val="4"/>
        </w:rPr>
      </w:pPr>
      <w:r>
        <w:rPr>
          <w:sz w:val="4"/>
          <w:szCs w:val="4"/>
        </w:rPr>
      </w:r>
      <w:bookmarkStart w:id="22" w:name="z270be82b5f1b47d89a5e2666c69d1426"/>
      <w:bookmarkStart w:id="23" w:name="z270be82b5f1b47d89a5e2666c69d1426"/>
      <w:bookmarkEnd w:id="23"/>
    </w:p>
    <w:tbl>
      <w:tblPr>
        <w:tblW w:w="7335" w:type="dxa"/>
        <w:jc w:val="left"/>
        <w:tblInd w:w="0" w:type="dxa"/>
        <w:tblLayout w:type="fixed"/>
        <w:tblCellMar>
          <w:top w:w="0" w:type="dxa"/>
          <w:left w:w="0" w:type="dxa"/>
          <w:bottom w:w="0" w:type="dxa"/>
          <w:right w:w="0" w:type="dxa"/>
        </w:tblCellMar>
      </w:tblPr>
      <w:tblGrid>
        <w:gridCol w:w="3485"/>
        <w:gridCol w:w="140"/>
        <w:gridCol w:w="3710"/>
      </w:tblGrid>
      <w:tr>
        <w:trPr/>
        <w:tc>
          <w:tcPr>
            <w:tcW w:w="3485" w:type="dxa"/>
            <w:tcBorders/>
            <w:vAlign w:val="center"/>
          </w:tcPr>
          <w:p>
            <w:pPr>
              <w:pStyle w:val="TableContents"/>
              <w:bidi w:val="0"/>
              <w:spacing w:before="0" w:after="0"/>
              <w:jc w:val="right"/>
              <w:rPr>
                <w:color w:val="000000"/>
              </w:rPr>
            </w:pPr>
            <w:r>
              <w:rPr>
                <w:color w:val="000000"/>
              </w:rPr>
              <w:t>Stockholders, please call toll-free:</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+1 (877) 750-8334 (U.S. and Canada)</w:t>
            </w:r>
          </w:p>
        </w:tc>
      </w:tr>
      <w:tr>
        <w:trPr/>
        <w:tc>
          <w:tcPr>
            <w:tcW w:w="348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+1 (412) 232-3651 (all other countries)</w:t>
            </w:r>
          </w:p>
        </w:tc>
      </w:tr>
      <w:tr>
        <w:trPr/>
        <w:tc>
          <w:tcPr>
            <w:tcW w:w="3485" w:type="dxa"/>
            <w:tcBorders/>
            <w:vAlign w:val="center"/>
          </w:tcPr>
          <w:p>
            <w:pPr>
              <w:pStyle w:val="TableContents"/>
              <w:bidi w:val="0"/>
              <w:spacing w:before="0" w:after="0"/>
              <w:jc w:val="right"/>
              <w:rPr>
                <w:color w:val="000000"/>
              </w:rPr>
            </w:pPr>
            <w:r>
              <w:rPr>
                <w:color w:val="000000"/>
              </w:rPr>
              <w:t>Banks and brokerage firms may call:</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+1 (212) 750-5833 (collect)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information contained herein speaks only as of August 6, 2026, unless the information specifically indicates that another date applies.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SUPPLEMENTAL DISCLOSURES TO DEFINITIVE PROXY STATEMENT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These Definitive Additional Materials should be read in conjunction with the Definitive Proxy Statement, which should be read in its entirety. To the extent that information in these Definitive Additional Materials differs from or conflicts with information contained in the Definitive Proxy Statement, the information in these Definitive Additional Materials shall supersede or supplement the information in the Definitive Proxy Statement, as applicable. Defined terms used but not defined herein have the meanings set forth in the Definitive Proxy Statement.</w:t>
      </w:r>
    </w:p>
    <w:p>
      <w:pPr>
        <w:pStyle w:val="TextBody"/>
        <w:bidi w:val="0"/>
        <w:spacing w:before="0" w:after="0"/>
        <w:jc w:val="center"/>
        <w:rPr>
          <w:b/>
          <w:smallCaps/>
          <w:color w:val="000000"/>
        </w:rPr>
      </w:pPr>
      <w:r>
        <w:rPr>
          <w:b/>
          <w:smallCaps/>
          <w:color w:val="000000"/>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The Merger</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Required Regulatory Approvals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Expiration or Termination of Waiting Period under the HSR Act in the United States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Merger—Required Regulatory Approvals—Expiration or Termination of Waiting Period under the HSR Act in the United States” </w:t>
      </w:r>
      <w:r>
        <w:rPr>
          <w:rFonts w:ascii="Times New Roman" w:hAnsi="Times New Roman"/>
          <w:i/>
          <w:color w:val="000000"/>
          <w:sz w:val="20"/>
        </w:rPr>
        <w:t>is hereby amended by deleting the following strikethrough language from and adding the following bolded and double underlined language to the last paragraph on page 68 of the Definitive Proxy Statement:</w:t>
      </w:r>
    </w:p>
    <w:p>
      <w:pPr>
        <w:pStyle w:val="TextBody"/>
        <w:bidi w:val="0"/>
        <w:spacing w:before="0" w:after="0"/>
        <w:jc w:val="both"/>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On July 6, 2026, Parent and Apogee each filed a Premerger Notification and Report Form under the HSR Act with the Antitrust Division of the DOJ and the FTC in connection with the Merger. The required waiting period under the HSR Act for the Merger </w:t>
      </w:r>
      <w:r>
        <w:rPr>
          <w:rFonts w:ascii="Times New Roman" w:hAnsi="Times New Roman"/>
          <w:strike/>
          <w:color w:val="000000"/>
          <w:sz w:val="20"/>
        </w:rPr>
        <w:t>will expire</w:t>
      </w:r>
      <w:r>
        <w:rPr>
          <w:rFonts w:ascii="Times New Roman" w:hAnsi="Times New Roman"/>
          <w:color w:val="000000"/>
          <w:sz w:val="20"/>
        </w:rPr>
        <w:t> </w:t>
      </w:r>
      <w:r>
        <w:rPr>
          <w:rFonts w:ascii="Times New Roman" w:hAnsi="Times New Roman"/>
          <w:b/>
          <w:color w:val="000000"/>
          <w:sz w:val="20"/>
          <w:u w:val="single"/>
          <w:bdr w:val="single" w:sz="2" w:space="1" w:color="000000"/>
        </w:rPr>
        <w:t>expired</w:t>
      </w:r>
      <w:r>
        <w:rPr>
          <w:rFonts w:ascii="Times New Roman" w:hAnsi="Times New Roman"/>
          <w:color w:val="000000"/>
          <w:sz w:val="20"/>
        </w:rPr>
        <w:t xml:space="preserve"> at 11:59 p.m., Eastern time, on August 5, 2026</w:t>
      </w:r>
      <w:r>
        <w:rPr>
          <w:rFonts w:ascii="Times New Roman" w:hAnsi="Times New Roman"/>
          <w:strike/>
          <w:color w:val="000000"/>
          <w:sz w:val="20"/>
        </w:rPr>
        <w:t>, unless such period is terminated earlier or extended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Required Clearances, Consents or Approvals, or Other Waiting Periods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Merger—Required Regulatory Approvals—Required Clearances, Consents or Approvals, or Other Waiting Periods” </w:t>
      </w:r>
      <w:r>
        <w:rPr>
          <w:rFonts w:ascii="Times New Roman" w:hAnsi="Times New Roman"/>
          <w:i/>
          <w:color w:val="000000"/>
          <w:sz w:val="20"/>
        </w:rPr>
        <w:t>is hereby amended by adding the following bolded and double underlined language to the third paragraph on page 69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On July 27, 2026, Parent obtained from the FCO unconditional clearance for the Merger in Germany. Accordingly, the closing condition relating to the receipt of Regulatory Approvals with respect to the German Act against Restraints of Competition 1957, as amended, has been satisfied. On July 27, 2026, Parent also filed a notification under the Australian Competition and Consumer Act 2010, as amended, with the Australian Competition and Consumer Commission (the “ACCC”), for which the Phase 1 statutory review period will expire on September 7, 2026, unless such period is terminated earlier by the ACCC. </w:t>
      </w:r>
      <w:r>
        <w:rPr>
          <w:rFonts w:ascii="Times New Roman" w:hAnsi="Times New Roman"/>
          <w:b/>
          <w:i w:val="false"/>
          <w:caps w:val="false"/>
          <w:smallCaps w:val="false"/>
          <w:color w:val="000000"/>
          <w:sz w:val="20"/>
          <w:u w:val="single"/>
          <w:bdr w:val="single" w:sz="2" w:space="1" w:color="000000"/>
          <w:shd w:fill="FFFFFF" w:val="clear"/>
        </w:rPr>
        <w:t>On August 4, 2026, the Phase 1 statutory review period under the Austrian Cartel Act 2005, as amended, expired. Accordingly, the closing condition relating to the receipt of Regulatory Approvals with respect to the Austrian Cartel Act 2005, as amended, has been satisfied.</w:t>
      </w:r>
    </w:p>
    <w:p>
      <w:pPr>
        <w:pStyle w:val="TextBody"/>
        <w:bidi w:val="0"/>
        <w:spacing w:before="0" w:after="0"/>
        <w:jc w:val="both"/>
        <w:rPr>
          <w:b/>
          <w:i w:val="false"/>
          <w:caps w:val="false"/>
          <w:smallCaps w:val="false"/>
          <w:color w:val="000000"/>
          <w:u w:val="single"/>
          <w:bdr w:val="single" w:sz="2" w:space="1" w:color="000000"/>
          <w:shd w:fill="FFFFFF" w:val="clear"/>
        </w:rPr>
      </w:pPr>
      <w:r>
        <w:rPr>
          <w:b/>
          <w:i w:val="false"/>
          <w:caps w:val="false"/>
          <w:smallCaps w:val="false"/>
          <w:color w:val="000000"/>
          <w:u w:val="single"/>
          <w:bdr w:val="single" w:sz="2" w:space="1" w:color="000000"/>
          <w:shd w:fill="FFFFFF" w:val="clea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Definitive Additional Materials contain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these Definitive Additional Materials are forward-looking. In many cases, you can identify forward-looking statements by terminology, such as “may,” “should,” “expects,” “intends,” “plans,” “anticipates,” “believes,” “estimates,” “predicts,” “potential,” “continue” or the negative of such terms and other comparable terminology. Statements in these Definitive Additional Materials that are forward-looking may include, but are not limited to, statements regarding anticipated future operating performance and results of Apogee, the expected timing of the closing of the proposed acquisition and other transactions contemplated by the Merger Agreement, and the potential of zumilokibart (APG777) and other Apogee’s pipeline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some restrictions during the pendency of the proposed transaction may impact Apogee’s ability to pursue some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pStyle w:val="TextBody"/>
        <w:bidi w:val="0"/>
        <w:spacing w:before="0" w:after="0"/>
        <w:jc w:val="left"/>
        <w:rPr/>
      </w:pPr>
      <w:r>
        <w:rPr/>
      </w:r>
    </w:p>
    <w:p>
      <w:pPr>
        <w:pStyle w:val="TextBody"/>
        <w:bidi w:val="0"/>
        <w:spacing w:before="0" w:after="0"/>
        <w:jc w:val="both"/>
        <w:rPr/>
      </w:pPr>
      <w:r>
        <w:rPr>
          <w:rFonts w:ascii="Times New Roman" w:hAnsi="Times New Roman"/>
          <w:color w:val="000000"/>
          <w:sz w:val="20"/>
        </w:rPr>
        <w:t xml:space="preserve">Also, AbbVie’s and Apogee’s actual results may differ materially from those contemplated by the forward-looking statements for a number of additional reasons as described in AbbVie’s and Apogee’s filings with the SEC, including those set forth in the Risk Factors section and under any “Forward-Looking Statements” or similar heading in AbbVie’s and Apogee’s most recently filed Annual Report on Form 10-K filed on </w:t>
      </w:r>
      <w:hyperlink r:id="rId3">
        <w:r>
          <w:rPr>
            <w:rStyle w:val="InternetLink"/>
          </w:rPr>
          <w:t>February 20, 2026</w:t>
        </w:r>
      </w:hyperlink>
      <w:r>
        <w:rPr>
          <w:rFonts w:ascii="Times New Roman" w:hAnsi="Times New Roman"/>
          <w:color w:val="000000"/>
          <w:sz w:val="20"/>
        </w:rPr>
        <w:t xml:space="preserve">, and </w:t>
      </w:r>
      <w:hyperlink r:id="rId4">
        <w:r>
          <w:rPr>
            <w:rStyle w:val="InternetLink"/>
          </w:rPr>
          <w:t>March 2, 2026,</w:t>
        </w:r>
      </w:hyperlink>
      <w:r>
        <w:rPr>
          <w:rFonts w:ascii="Times New Roman" w:hAnsi="Times New Roman"/>
          <w:color w:val="000000"/>
          <w:sz w:val="20"/>
        </w:rPr>
        <w:t xml:space="preserve"> respectively, and subsequent Quarterly Reports on Form 10-Q and Current Reports on Form 8-K.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7</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551152/000155115226000008/abbv-20251231.htm" TargetMode="External"/><Relationship Id="rId4" Type="http://schemas.openxmlformats.org/officeDocument/2006/relationships/hyperlink" Target="https://www.sec.gov/ix?doc=/Archives/edgar/data/0001974640/000197464026000002/apge-202512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1873</Words>
  <Characters>10642</Characters>
  <CharactersWithSpaces>12470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