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11, 2026</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APOGEE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4950" w:type="dxa"/>
        <w:jc w:val="left"/>
        <w:tblInd w:w="0" w:type="dxa"/>
        <w:tblLayout w:type="fixed"/>
        <w:tblCellMar>
          <w:top w:w="0" w:type="dxa"/>
          <w:left w:w="0" w:type="dxa"/>
          <w:bottom w:w="0" w:type="dxa"/>
          <w:right w:w="0" w:type="dxa"/>
        </w:tblCellMar>
      </w:tblPr>
      <w:tblGrid>
        <w:gridCol w:w="2255"/>
        <w:gridCol w:w="1145"/>
        <w:gridCol w:w="1550"/>
      </w:tblGrid>
      <w:tr>
        <w:trPr/>
        <w:tc>
          <w:tcPr>
            <w:tcW w:w="22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11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001-41740</w:t>
            </w:r>
          </w:p>
        </w:tc>
        <w:tc>
          <w:tcPr>
            <w:tcW w:w="15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93-4958665</w:t>
            </w:r>
          </w:p>
        </w:tc>
      </w:tr>
      <w:tr>
        <w:trPr/>
        <w:tc>
          <w:tcPr>
            <w:tcW w:w="22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of incorporation)</w:t>
            </w:r>
          </w:p>
        </w:tc>
        <w:tc>
          <w:tcPr>
            <w:tcW w:w="11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File Number)</w:t>
            </w:r>
          </w:p>
        </w:tc>
        <w:tc>
          <w:tcPr>
            <w:tcW w:w="15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spacing w:before="0" w:after="0"/>
        <w:jc w:val="left"/>
        <w:rPr/>
      </w:pPr>
      <w:r>
        <w:rPr/>
      </w:r>
    </w:p>
    <w:tbl>
      <w:tblPr>
        <w:tblW w:w="6130" w:type="dxa"/>
        <w:jc w:val="left"/>
        <w:tblInd w:w="0" w:type="dxa"/>
        <w:tblLayout w:type="fixed"/>
        <w:tblCellMar>
          <w:top w:w="0" w:type="dxa"/>
          <w:left w:w="0" w:type="dxa"/>
          <w:bottom w:w="0" w:type="dxa"/>
          <w:right w:w="0" w:type="dxa"/>
        </w:tblCellMar>
      </w:tblPr>
      <w:tblGrid>
        <w:gridCol w:w="5105"/>
        <w:gridCol w:w="1025"/>
      </w:tblGrid>
      <w:tr>
        <w:trPr/>
        <w:tc>
          <w:tcPr>
            <w:tcW w:w="51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One Letterman Drive, Building B, Suites B6-850 and B6-800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Presidio of San Francisco, San Francisco, California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02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94129-1492</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(650) 394-5230</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221 Crescent St., Building 17, Suite 102b, Waltham, MA 02453</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pPr>
      <w:r>
        <w:rPr/>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color w:val="000000"/>
              </w:rPr>
            </w:pPr>
            <w:r>
              <w:rPr>
                <w:color w:val="000000"/>
              </w:rPr>
              <w:t>☐</w:t>
            </w:r>
          </w:p>
        </w:tc>
        <w:tc>
          <w:tcPr>
            <w:tcW w:w="9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CFR240.14d-2(b))</w:t>
            </w:r>
          </w:p>
        </w:tc>
      </w:tr>
    </w:tbl>
    <w:p>
      <w:pPr>
        <w:pStyle w:val="TextBody"/>
        <w:bidi w:val="0"/>
        <w:spacing w:before="0" w:after="0"/>
        <w:ind w:left="360" w:right="0" w:hanging="36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6930" w:type="dxa"/>
        <w:jc w:val="left"/>
        <w:tblInd w:w="0" w:type="dxa"/>
        <w:tblLayout w:type="fixed"/>
        <w:tblCellMar>
          <w:top w:w="0" w:type="dxa"/>
          <w:left w:w="0" w:type="dxa"/>
          <w:bottom w:w="28" w:type="dxa"/>
          <w:right w:w="0" w:type="dxa"/>
        </w:tblCellMar>
      </w:tblPr>
      <w:tblGrid>
        <w:gridCol w:w="3725"/>
        <w:gridCol w:w="60"/>
        <w:gridCol w:w="860"/>
        <w:gridCol w:w="60"/>
        <w:gridCol w:w="2225"/>
      </w:tblGrid>
      <w:tr>
        <w:trPr/>
        <w:tc>
          <w:tcPr>
            <w:tcW w:w="372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Ticket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22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72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APGE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5.02</w:t>
      </w:r>
      <w:r>
        <w:rPr>
          <w:rFonts w:ascii="Times New Roman" w:hAnsi="Times New Roman"/>
          <w:color w:val="000000"/>
          <w:sz w:val="20"/>
          <w:shd w:fill="FFFFFF" w:val="clear"/>
        </w:rPr>
        <w:t>          </w:t>
      </w:r>
      <w:r>
        <w:rPr>
          <w:rFonts w:ascii="Times New Roman" w:hAnsi="Times New Roman"/>
          <w:b/>
          <w:color w:val="000000"/>
          <w:sz w:val="20"/>
          <w:shd w:fill="FFFFFF" w:val="clear"/>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previously reported in the Current Report on Form 8-K filed with the U.S. Securities and Exchange Commission (the “SEC”) on June 22, 2026, Apogee Therapeutics, Inc. (“Apogee”), a Delaware corporation, has entered into an Agreement and Plan of Merger (the “Merger Agreement”) with Andor LLC (“Parent”), a Delaware limited liability company and a wholly owned subsidiary of AbbVie Inc. (“AbbVie”), Andor Merger Co. (“Merger Sub”), a Delaware corporation and a wholly owned subsidiary of Parent, and solely for the limited purposes set forth therein, AbbVie, a Delaware corporation, providing for the merger of Merger Sub with and into Apogee (the “Merger”), with Apogee surviving the Merger as an indirect wholly-owned subsidiary of AbbVie.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anticipated consummation of the Merger, each of the directors of Apogee (Michael Henderson, M.D., Mark C. McKenna, Lisa Bollinger, M.D., Jennifer Fox, William (BJ) Jones, Jr., Tomas Kiselak and Nimish Shah) has indicated their intention to resign as a member of the board of directors of Apogee and any committee thereof, as applicable, conditioned upon and effective as of the effective time of the Merger. These anticipated resignations are not a result of any disagreement between Apogee and the directors on any matter relating to Apogee’s operations, policies or practices.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Item 5.07</w:t>
      </w:r>
      <w:r>
        <w:rPr>
          <w:rFonts w:ascii="Times New Roman" w:hAnsi="Times New Roman"/>
          <w:color w:val="000000"/>
          <w:sz w:val="20"/>
          <w:shd w:fill="FFFFFF" w:val="clear"/>
        </w:rPr>
        <w:t>          </w:t>
      </w:r>
      <w:r>
        <w:rPr>
          <w:rFonts w:ascii="Times New Roman" w:hAnsi="Times New Roman"/>
          <w:b/>
          <w:color w:val="000000"/>
          <w:sz w:val="20"/>
          <w:shd w:fill="FFFFFF" w:val="clear"/>
        </w:rPr>
        <w:t>Submission of Matters to a Vote of Security 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11, 2026, Apogee held virtually via live webcast a special meeting of its stockholders (the “Special Meeting”) to consider matters relating to the proposed Merger, as described in Apogee’s Definitive Proxy Statement on Schedule 14A filed with the SEC on July 13, 2026, as amended and supplemented (the “Definitive Proxy Statement”).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bookmarkStart w:id="0" w:name="z_Hlk101210744"/>
      <w:bookmarkEnd w:id="0"/>
      <w:r>
        <w:rPr>
          <w:rFonts w:ascii="Times New Roman" w:hAnsi="Times New Roman"/>
          <w:color w:val="000000"/>
          <w:sz w:val="20"/>
          <w:shd w:fill="FFFFFF" w:val="clear"/>
        </w:rPr>
        <w:t>As of the close of business on July 10, 2026, the record date established to determine Apogee stockholders entitled to notice of and to vote at the Special Meeting, there were 62,140,183 shares of Apogee’s voting common stock issued and outstanding. At the Special Meeting, 46,526,253 shares, or approximately 74.87% of all outstanding shares of Apogee’s voting common stock entitled to vote at the Special Meeting, were present either in person or by proxy. At the Special Meeting, Apogee’s stockholders voted on the proposals listed below, with Apogee’s board of directors recommending a vote “FOR” each of these proposals, as further described in the Definitive Proxy Statement. The final results for the votes regarding each proposal are set forth below.</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Proposal 1: The Merger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adopt the Merger Agreement, pursuant to which Merger Sub will merge with and into Apogee, with Apogee surviving the Merger as an indirect wholly owned subsidiary of AbbVie.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votes were cast at the Special Meeting (in person or by proxy) on the Merger Proposal:</w:t>
      </w:r>
    </w:p>
    <w:p>
      <w:pPr>
        <w:pStyle w:val="TextBody"/>
        <w:bidi w:val="0"/>
        <w:spacing w:before="0" w:after="0"/>
        <w:jc w:val="left"/>
        <w:rPr/>
      </w:pPr>
      <w:r>
        <w:rPr/>
      </w:r>
    </w:p>
    <w:tbl>
      <w:tblPr>
        <w:tblW w:w="2730" w:type="dxa"/>
        <w:jc w:val="left"/>
        <w:tblInd w:w="0" w:type="dxa"/>
        <w:tblLayout w:type="fixed"/>
        <w:tblCellMar>
          <w:top w:w="0" w:type="dxa"/>
          <w:left w:w="0" w:type="dxa"/>
          <w:bottom w:w="28" w:type="dxa"/>
          <w:right w:w="0" w:type="dxa"/>
        </w:tblCellMar>
      </w:tblPr>
      <w:tblGrid>
        <w:gridCol w:w="950"/>
        <w:gridCol w:w="60"/>
        <w:gridCol w:w="665"/>
        <w:gridCol w:w="60"/>
        <w:gridCol w:w="995"/>
      </w:tblGrid>
      <w:tr>
        <w:trPr/>
        <w:tc>
          <w:tcPr>
            <w:tcW w:w="95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r>
      <w:tr>
        <w:trPr/>
        <w:tc>
          <w:tcPr>
            <w:tcW w:w="950"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46,508,107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3,885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14,261</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Proposal was approved by the holders of a majority of the outstanding shares of Apogee’s voting common stock, which, together with the written consent of all of the holders of Apogee’s non-voting common stock adopting the Merger Agreement and approving the Merger and the other transactions contemplated by the Merger Agreement, satisfies one of the closing conditions under the Merger Agreement for the consummation of the Merger.</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Proposal 2: The Compensation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approve, on a non-binding, advisory basis, the compensation that will or may be paid, or become payable to, Apogee’s named executive officers that is based on or otherwise relates to the Merger and/or the other transactions contemplated by the Merger Agreement.</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votes were cast at the Special Meeting (in person or by proxy) on the Compensation Proposal:</w:t>
      </w:r>
    </w:p>
    <w:p>
      <w:pPr>
        <w:pStyle w:val="TextBody"/>
        <w:bidi w:val="0"/>
        <w:spacing w:before="0" w:after="0"/>
        <w:jc w:val="left"/>
        <w:rPr/>
      </w:pPr>
      <w:r>
        <w:rPr/>
      </w:r>
    </w:p>
    <w:tbl>
      <w:tblPr>
        <w:tblW w:w="3045" w:type="dxa"/>
        <w:jc w:val="left"/>
        <w:tblInd w:w="0" w:type="dxa"/>
        <w:tblLayout w:type="fixed"/>
        <w:tblCellMar>
          <w:top w:w="0" w:type="dxa"/>
          <w:left w:w="0" w:type="dxa"/>
          <w:bottom w:w="28" w:type="dxa"/>
          <w:right w:w="0" w:type="dxa"/>
        </w:tblCellMar>
      </w:tblPr>
      <w:tblGrid>
        <w:gridCol w:w="965"/>
        <w:gridCol w:w="60"/>
        <w:gridCol w:w="950"/>
        <w:gridCol w:w="60"/>
        <w:gridCol w:w="1010"/>
      </w:tblGrid>
      <w:tr>
        <w:trPr/>
        <w:tc>
          <w:tcPr>
            <w:tcW w:w="9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r>
      <w:tr>
        <w:trPr/>
        <w:tc>
          <w:tcPr>
            <w:tcW w:w="96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19,323,605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27,123,259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79,389</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Compensation Proposal was not approved by the requisite vote of Apogee stockholders required to approve such proposal. However, approval of the Compensation Proposal is advisory and non-binding, and is not a condition for the consummation of the Merger.</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Proposal 3: The Adjournment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proposal to approve the adjournment of the Special Meeting to a later date, if necessary or appropriate, to solicit additional votes if there are insufficient votes in favor of the adoption of the Merger Agreement at the time of the Special Meeting, was not voted upon at the Special Meeting since there were sufficient votes to approve the Merger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 other business properly came before the Special Meeting.</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950" w:type="dxa"/>
        <w:jc w:val="left"/>
        <w:tblInd w:w="0" w:type="dxa"/>
        <w:tblLayout w:type="fixed"/>
        <w:tblCellMar>
          <w:top w:w="0" w:type="dxa"/>
          <w:left w:w="0" w:type="dxa"/>
          <w:bottom w:w="0" w:type="dxa"/>
          <w:right w:w="0" w:type="dxa"/>
        </w:tblCellMar>
      </w:tblPr>
      <w:tblGrid>
        <w:gridCol w:w="1955"/>
        <w:gridCol w:w="320"/>
        <w:gridCol w:w="2675"/>
      </w:tblGrid>
      <w:tr>
        <w:trPr/>
        <w:tc>
          <w:tcPr>
            <w:tcW w:w="1955"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Apogee Therapeutics, Inc.</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August 11,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6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Michael Henderson, M.D.</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Michael Henderson, M.D.</w:t>
            </w:r>
          </w:p>
        </w:tc>
      </w:tr>
      <w:tr>
        <w:trPr/>
        <w:tc>
          <w:tcPr>
            <w:tcW w:w="19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1098</Words>
  <Characters>6011</Characters>
  <CharactersWithSpaces>7063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