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pge-20260810.htm"/>
      <w:bookmarkStart w:id="1" w:name="ksapge20260810"/>
      <w:bookmarkEnd w:id="0"/>
      <w:bookmarkEnd w:id="1"/>
      <w:r>
        <w:drawing>
          <wp:anchor behindDoc="0" distT="0" distB="0" distL="0" distR="0" simplePos="0" locked="0" layoutInCell="1" allowOverlap="1" relativeHeight="9">
            <wp:simplePos x="0" y="0"/>
            <wp:positionH relativeFrom="page">
              <wp:posOffset>5591175</wp:posOffset>
            </wp:positionH>
            <wp:positionV relativeFrom="page">
              <wp:posOffset>171450</wp:posOffset>
            </wp:positionV>
            <wp:extent cx="1407160" cy="487680"/>
            <wp:effectExtent l="0" t="0" r="0" b="0"/>
            <wp:wrapNone/>
            <wp:docPr id="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8" descr=""/>
                    <pic:cNvPicPr>
                      <a:picLocks noChangeAspect="1" noChangeArrowheads="1"/>
                    </pic:cNvPicPr>
                  </pic:nvPicPr>
                  <pic:blipFill>
                    <a:blip r:embed="rId2"/>
                    <a:stretch>
                      <a:fillRect/>
                    </a:stretch>
                  </pic:blipFill>
                  <pic:spPr bwMode="auto">
                    <a:xfrm>
                      <a:off x="0" y="0"/>
                      <a:ext cx="1407160" cy="487680"/>
                    </a:xfrm>
                    <a:prstGeom prst="rect">
                      <a:avLst/>
                    </a:prstGeom>
                  </pic:spPr>
                </pic:pic>
              </a:graphicData>
            </a:graphic>
          </wp:anchor>
        </w:drawing>
        <w:drawing>
          <wp:anchor behindDoc="0" distT="0" distB="0" distL="0" distR="0" simplePos="0" locked="0" layoutInCell="1" allowOverlap="1" relativeHeight="8">
            <wp:simplePos x="0" y="0"/>
            <wp:positionH relativeFrom="page">
              <wp:posOffset>5591175</wp:posOffset>
            </wp:positionH>
            <wp:positionV relativeFrom="page">
              <wp:posOffset>171450</wp:posOffset>
            </wp:positionV>
            <wp:extent cx="1407160" cy="487680"/>
            <wp:effectExtent l="0" t="0" r="0" b="0"/>
            <wp:wrapNone/>
            <wp:docPr id="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 descr=""/>
                    <pic:cNvPicPr>
                      <a:picLocks noChangeAspect="1" noChangeArrowheads="1"/>
                    </pic:cNvPicPr>
                  </pic:nvPicPr>
                  <pic:blipFill>
                    <a:blip r:embed="rId3"/>
                    <a:stretch>
                      <a:fillRect/>
                    </a:stretch>
                  </pic:blipFill>
                  <pic:spPr bwMode="auto">
                    <a:xfrm>
                      <a:off x="0" y="0"/>
                      <a:ext cx="1407160" cy="487680"/>
                    </a:xfrm>
                    <a:prstGeom prst="rect">
                      <a:avLst/>
                    </a:prstGeom>
                  </pic:spPr>
                </pic:pic>
              </a:graphicData>
            </a:graphic>
          </wp:anchor>
        </w:drawing>
        <w:drawing>
          <wp:anchor behindDoc="0" distT="0" distB="0" distL="0" distR="0" simplePos="0" locked="0" layoutInCell="1" allowOverlap="1" relativeHeight="7">
            <wp:simplePos x="0" y="0"/>
            <wp:positionH relativeFrom="page">
              <wp:posOffset>5591175</wp:posOffset>
            </wp:positionH>
            <wp:positionV relativeFrom="page">
              <wp:posOffset>171450</wp:posOffset>
            </wp:positionV>
            <wp:extent cx="1407160" cy="487680"/>
            <wp:effectExtent l="0" t="0" r="0" b="0"/>
            <wp:wrapNone/>
            <wp:docPr id="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6" descr=""/>
                    <pic:cNvPicPr>
                      <a:picLocks noChangeAspect="1" noChangeArrowheads="1"/>
                    </pic:cNvPicPr>
                  </pic:nvPicPr>
                  <pic:blipFill>
                    <a:blip r:embed="rId4"/>
                    <a:stretch>
                      <a:fillRect/>
                    </a:stretch>
                  </pic:blipFill>
                  <pic:spPr bwMode="auto">
                    <a:xfrm>
                      <a:off x="0" y="0"/>
                      <a:ext cx="1407160" cy="487680"/>
                    </a:xfrm>
                    <a:prstGeom prst="rect">
                      <a:avLst/>
                    </a:prstGeom>
                  </pic:spPr>
                </pic:pic>
              </a:graphicData>
            </a:graphic>
          </wp:anchor>
        </w:drawing>
        <w:drawing>
          <wp:anchor behindDoc="0" distT="0" distB="0" distL="0" distR="0" simplePos="0" locked="0" layoutInCell="1" allowOverlap="1" relativeHeight="6">
            <wp:simplePos x="0" y="0"/>
            <wp:positionH relativeFrom="page">
              <wp:posOffset>5591175</wp:posOffset>
            </wp:positionH>
            <wp:positionV relativeFrom="page">
              <wp:posOffset>171450</wp:posOffset>
            </wp:positionV>
            <wp:extent cx="1407160" cy="487680"/>
            <wp:effectExtent l="0" t="0" r="0" b="0"/>
            <wp:wrapNone/>
            <wp:docPr id="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 descr=""/>
                    <pic:cNvPicPr>
                      <a:picLocks noChangeAspect="1" noChangeArrowheads="1"/>
                    </pic:cNvPicPr>
                  </pic:nvPicPr>
                  <pic:blipFill>
                    <a:blip r:embed="rId5"/>
                    <a:stretch>
                      <a:fillRect/>
                    </a:stretch>
                  </pic:blipFill>
                  <pic:spPr bwMode="auto">
                    <a:xfrm>
                      <a:off x="0" y="0"/>
                      <a:ext cx="1407160" cy="487680"/>
                    </a:xfrm>
                    <a:prstGeom prst="rect">
                      <a:avLst/>
                    </a:prstGeom>
                  </pic:spPr>
                </pic:pic>
              </a:graphicData>
            </a:graphic>
          </wp:anchor>
        </w:drawing>
        <w:drawing>
          <wp:anchor behindDoc="0" distT="0" distB="0" distL="0" distR="0" simplePos="0" locked="0" layoutInCell="1" allowOverlap="1" relativeHeight="5">
            <wp:simplePos x="0" y="0"/>
            <wp:positionH relativeFrom="page">
              <wp:posOffset>5591175</wp:posOffset>
            </wp:positionH>
            <wp:positionV relativeFrom="page">
              <wp:posOffset>171450</wp:posOffset>
            </wp:positionV>
            <wp:extent cx="1407160" cy="487680"/>
            <wp:effectExtent l="0" t="0" r="0" b="0"/>
            <wp:wrapNone/>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6"/>
                    <a:stretch>
                      <a:fillRect/>
                    </a:stretch>
                  </pic:blipFill>
                  <pic:spPr bwMode="auto">
                    <a:xfrm>
                      <a:off x="0" y="0"/>
                      <a:ext cx="1407160" cy="487680"/>
                    </a:xfrm>
                    <a:prstGeom prst="rect">
                      <a:avLst/>
                    </a:prstGeom>
                  </pic:spPr>
                </pic:pic>
              </a:graphicData>
            </a:graphic>
          </wp:anchor>
        </w:drawing>
        <w:drawing>
          <wp:anchor behindDoc="0" distT="0" distB="0" distL="0" distR="0" simplePos="0" locked="0" layoutInCell="1" allowOverlap="1" relativeHeight="4">
            <wp:simplePos x="0" y="0"/>
            <wp:positionH relativeFrom="page">
              <wp:posOffset>5591175</wp:posOffset>
            </wp:positionH>
            <wp:positionV relativeFrom="page">
              <wp:posOffset>171450</wp:posOffset>
            </wp:positionV>
            <wp:extent cx="1407160" cy="487680"/>
            <wp:effectExtent l="0" t="0" r="0" b="0"/>
            <wp:wrapNone/>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7"/>
                    <a:stretch>
                      <a:fillRect/>
                    </a:stretch>
                  </pic:blipFill>
                  <pic:spPr bwMode="auto">
                    <a:xfrm>
                      <a:off x="0" y="0"/>
                      <a:ext cx="1407160" cy="487680"/>
                    </a:xfrm>
                    <a:prstGeom prst="rect">
                      <a:avLst/>
                    </a:prstGeom>
                  </pic:spPr>
                </pic:pic>
              </a:graphicData>
            </a:graphic>
          </wp:anchor>
        </w:drawing>
        <w:drawing>
          <wp:anchor behindDoc="0" distT="0" distB="0" distL="0" distR="0" simplePos="0" locked="0" layoutInCell="1" allowOverlap="1" relativeHeight="3">
            <wp:simplePos x="0" y="0"/>
            <wp:positionH relativeFrom="page">
              <wp:posOffset>5591175</wp:posOffset>
            </wp:positionH>
            <wp:positionV relativeFrom="page">
              <wp:posOffset>171450</wp:posOffset>
            </wp:positionV>
            <wp:extent cx="1407160" cy="487680"/>
            <wp:effectExtent l="0" t="0" r="0" b="0"/>
            <wp:wrapNone/>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8"/>
                    <a:stretch>
                      <a:fillRect/>
                    </a:stretch>
                  </pic:blipFill>
                  <pic:spPr bwMode="auto">
                    <a:xfrm>
                      <a:off x="0" y="0"/>
                      <a:ext cx="1407160" cy="487680"/>
                    </a:xfrm>
                    <a:prstGeom prst="rect">
                      <a:avLst/>
                    </a:prstGeom>
                  </pic:spPr>
                </pic:pic>
              </a:graphicData>
            </a:graphic>
          </wp:anchor>
        </w:drawing>
        <w:drawing>
          <wp:anchor behindDoc="0" distT="0" distB="0" distL="0" distR="0" simplePos="0" locked="0" layoutInCell="1" allowOverlap="1" relativeHeight="2">
            <wp:simplePos x="0" y="0"/>
            <wp:positionH relativeFrom="page">
              <wp:posOffset>5591175</wp:posOffset>
            </wp:positionH>
            <wp:positionV relativeFrom="page">
              <wp:posOffset>171450</wp:posOffset>
            </wp:positionV>
            <wp:extent cx="1407160" cy="487680"/>
            <wp:effectExtent l="0" t="0" r="0" b="0"/>
            <wp:wrapNone/>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9"/>
                    <a:stretch>
                      <a:fillRect/>
                    </a:stretch>
                  </pic:blipFill>
                  <pic:spPr bwMode="auto">
                    <a:xfrm>
                      <a:off x="0" y="0"/>
                      <a:ext cx="1407160" cy="487680"/>
                    </a:xfrm>
                    <a:prstGeom prst="rect">
                      <a:avLst/>
                    </a:prstGeom>
                  </pic:spPr>
                </pic:pic>
              </a:graphicData>
            </a:graphic>
          </wp:anchor>
        </w:drawing>
      </w:r>
      <w:r>
        <w:rPr/>
        <w:t> </w:t>
      </w:r>
    </w:p>
    <w:p>
      <w:pPr>
        <w:pStyle w:val="TextBody"/>
        <w:bidi w:val="0"/>
        <w:spacing w:before="0" w:after="12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12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2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Apogee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001-41740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93-4958665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 Letterman Drive</w:t>
            </w:r>
          </w:p>
          <w:p>
            <w:pPr>
              <w:pStyle w:val="TableContents"/>
              <w:bidi w:val="0"/>
              <w:jc w:val="center"/>
              <w:rPr>
                <w:rFonts w:ascii="Times New Roman" w:hAnsi="Times New Roman"/>
                <w:b/>
                <w:color w:val="000000"/>
                <w:sz w:val="20"/>
              </w:rPr>
            </w:pPr>
            <w:r>
              <w:rPr>
                <w:rFonts w:ascii="Times New Roman" w:hAnsi="Times New Roman"/>
                <w:b/>
                <w:color w:val="000000"/>
                <w:sz w:val="20"/>
              </w:rPr>
              <w:t>Building B</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B6-800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94129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394-5230</w:t>
            </w:r>
          </w:p>
        </w:tc>
      </w:tr>
    </w:tbl>
    <w:p>
      <w:pPr>
        <w:pStyle w:val="TextBody"/>
        <w:bidi w:val="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283"/>
              <w:jc w:val="left"/>
              <w:rPr>
                <w:sz w:val="4"/>
                <w:szCs w:val="4"/>
              </w:rPr>
            </w:pPr>
            <w:r>
              <w:rPr>
                <w:sz w:val="4"/>
                <w:szCs w:val="4"/>
              </w:rPr>
            </w:r>
          </w:p>
        </w:tc>
      </w:tr>
      <w:tr>
        <w:trPr/>
        <w:tc>
          <w:tcPr>
            <w:tcW w:w="32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 Crescent St., Bldg 17, Suite 102b</w:t>
            </w:r>
          </w:p>
        </w:tc>
      </w:tr>
      <w:tr>
        <w:trPr/>
        <w:tc>
          <w:tcPr>
            <w:tcW w:w="3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Waltham, Massachusetts</w:t>
            </w:r>
            <w:r>
              <w:rPr>
                <w:rFonts w:ascii="Times New Roman" w:hAnsi="Times New Roman"/>
                <w:color w:val="000000"/>
                <w:sz w:val="20"/>
              </w:rPr>
              <w:t xml:space="preserve"> </w:t>
            </w:r>
            <w:r>
              <w:rPr>
                <w:rFonts w:ascii="Times New Roman" w:hAnsi="Times New Roman"/>
                <w:b/>
                <w:color w:val="000000"/>
                <w:sz w:val="20"/>
              </w:rPr>
              <w:t>02453</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20" w:after="283"/>
        <w:ind w:left="0" w:right="0" w:hanging="490"/>
        <w:jc w:val="both"/>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both"/>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both"/>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both"/>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240" w:after="20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APGE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20" w:after="200"/>
        <w:jc w:val="both"/>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10, 2026, Apogee Therapeutics, Inc. (the “Company”) issued a press release providing a business update and announcing its financial results for the quarter ended June 30, 2026 (the “Earnings Press Release”).</w:t>
      </w:r>
    </w:p>
    <w:p>
      <w:pPr>
        <w:pStyle w:val="TextBody"/>
        <w:bidi w:val="0"/>
        <w:jc w:val="left"/>
        <w:rPr>
          <w:rFonts w:ascii="Times New Roman" w:hAnsi="Times New Roman"/>
          <w:color w:val="000000"/>
          <w:sz w:val="20"/>
        </w:rPr>
      </w:pPr>
      <w:r>
        <w:rPr>
          <w:rFonts w:ascii="Times New Roman" w:hAnsi="Times New Roman"/>
          <w:color w:val="000000"/>
          <w:sz w:val="20"/>
        </w:rPr>
        <w:t>A copy of the Earnings Press Release is furnished as Exhibit 99.1 to this Current Report on Form 8-K (the “Form 8-K”) and is incorporated by reference herein. The exhibit furnished under Item 2.02 of this Form 8-K shall not be deemed to be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(the “Securities Act”), regardless of any general incorporation language in such filing.</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Exhibits</w:t>
      </w:r>
      <w:r>
        <w:rPr>
          <w:rFonts w:ascii="Times New Roman" w:hAnsi="Times New Roman"/>
          <w:color w:val="000000"/>
          <w:sz w:val="20"/>
        </w:rPr>
        <w:t>. The following exhibits are being furnished herewith:</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INDEX</w:t>
      </w:r>
    </w:p>
    <w:tbl>
      <w:tblPr>
        <w:tblW w:w="7543" w:type="dxa"/>
        <w:jc w:val="left"/>
        <w:tblInd w:w="0" w:type="dxa"/>
        <w:tblLayout w:type="fixed"/>
        <w:tblCellMar>
          <w:top w:w="28" w:type="dxa"/>
          <w:left w:w="28" w:type="dxa"/>
          <w:bottom w:w="28" w:type="dxa"/>
          <w:right w:w="28" w:type="dxa"/>
        </w:tblCellMar>
      </w:tblPr>
      <w:tblGrid>
        <w:gridCol w:w="751"/>
        <w:gridCol w:w="146"/>
        <w:gridCol w:w="6646"/>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apge-ex99_1.htm">
              <w:r>
                <w:rPr>
                  <w:rStyle w:val="InternetLink"/>
                  <w:rFonts w:ascii="Times New Roman" w:hAnsi="Times New Roman"/>
                  <w:color w:val="0000FF"/>
                  <w:sz w:val="20"/>
                  <w:u w:val="single"/>
                </w:rPr>
                <w:t>Earnings Press Release, dated August 10,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39" w:type="dxa"/>
        <w:jc w:val="left"/>
        <w:tblInd w:w="0" w:type="dxa"/>
        <w:tblLayout w:type="fixed"/>
        <w:tblCellMar>
          <w:top w:w="28" w:type="dxa"/>
          <w:left w:w="28" w:type="dxa"/>
          <w:bottom w:w="28" w:type="dxa"/>
          <w:right w:w="28" w:type="dxa"/>
        </w:tblCellMar>
      </w:tblPr>
      <w:tblGrid>
        <w:gridCol w:w="556"/>
        <w:gridCol w:w="1456"/>
        <w:gridCol w:w="451"/>
        <w:gridCol w:w="247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Apogee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4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Michael Henderson,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Michael Henderson, M.D.</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2" w:name="apge-ex99_1.htm"/>
      <w:bookmarkStart w:id="3" w:name="ksapgeex99_1"/>
      <w:bookmarkEnd w:id="2"/>
      <w:bookmarkEnd w:id="3"/>
      <w:r>
        <w:rPr/>
        <w:t> </w:t>
      </w:r>
      <w:r>
        <w:br w:type="page"/>
      </w:r>
    </w:p>
    <w:p>
      <w:pPr>
        <w:pStyle w:val="TextBody"/>
        <w:bidi w:val="0"/>
        <w:spacing w:before="360" w:after="283"/>
        <w:jc w:val="center"/>
        <w:rPr>
          <w:rFonts w:ascii="Arial" w:hAnsi="Arial"/>
          <w:b/>
          <w:color w:val="000000"/>
          <w:sz w:val="22"/>
        </w:rPr>
      </w:pPr>
      <w:r>
        <w:rPr>
          <w:rFonts w:ascii="Arial" w:hAnsi="Arial"/>
          <w:b/>
          <w:color w:val="000000"/>
          <w:sz w:val="22"/>
        </w:rPr>
        <w:t>Apogee Reports Second Quarter 2026 Financial Results and Recent Corporate and Pipeline Updates</w:t>
      </w:r>
    </w:p>
    <w:p>
      <w:pPr>
        <w:pStyle w:val="TextBody"/>
        <w:bidi w:val="0"/>
        <w:spacing w:before="240" w:after="283"/>
        <w:jc w:val="center"/>
        <w:rPr>
          <w:rFonts w:ascii="Arial" w:hAnsi="Arial"/>
          <w:i/>
          <w:color w:val="000000"/>
          <w:sz w:val="22"/>
        </w:rPr>
      </w:pPr>
      <w:r>
        <w:rPr>
          <w:rFonts w:ascii="Arial" w:hAnsi="Arial"/>
          <w:i/>
          <w:color w:val="000000"/>
          <w:sz w:val="22"/>
        </w:rPr>
        <w:t>AbbVie to acquire Apogee for $135.11 per share in cash for total equity value of approximately $10.9 billion, positioning differentiated immunology portfolio to reach more patients worldwide</w:t>
      </w:r>
    </w:p>
    <w:p>
      <w:pPr>
        <w:pStyle w:val="TextBody"/>
        <w:bidi w:val="0"/>
        <w:spacing w:before="240" w:after="283"/>
        <w:jc w:val="center"/>
        <w:rPr>
          <w:rFonts w:ascii="Arial" w:hAnsi="Arial"/>
          <w:i/>
          <w:color w:val="000000"/>
          <w:sz w:val="22"/>
        </w:rPr>
      </w:pPr>
      <w:r>
        <w:rPr>
          <w:rFonts w:ascii="Arial" w:hAnsi="Arial"/>
          <w:i/>
          <w:color w:val="000000"/>
          <w:sz w:val="22"/>
        </w:rPr>
        <w:t>Positive 16-week Phase 2 APEX Part B induction dose optimization results support planned advancement of zumilokibart into Phase 3 development in moderate-to-severe atopic dermatitis this year</w:t>
      </w:r>
    </w:p>
    <w:p>
      <w:pPr>
        <w:pStyle w:val="TextBody"/>
        <w:bidi w:val="0"/>
        <w:spacing w:before="360" w:after="283"/>
        <w:jc w:val="both"/>
        <w:rPr>
          <w:rFonts w:ascii="Times New Roman" w:hAnsi="Times New Roman"/>
          <w:sz w:val="20"/>
        </w:rPr>
      </w:pPr>
      <w:r>
        <w:rPr>
          <w:rFonts w:ascii="Arial" w:hAnsi="Arial"/>
          <w:b/>
          <w:color w:val="000000"/>
          <w:sz w:val="22"/>
        </w:rPr>
        <w:t>SAN FRANCISCO and BOSTON, August 10, 2026 (GLOBE NEWSWIRE)</w:t>
      </w:r>
      <w:r>
        <w:rPr>
          <w:rFonts w:ascii="Times New Roman" w:hAnsi="Times New Roman"/>
          <w:color w:val="000000"/>
          <w:sz w:val="20"/>
        </w:rPr>
        <w:t xml:space="preserve"> </w:t>
      </w:r>
      <w:r>
        <w:rPr>
          <w:rFonts w:ascii="Arial" w:hAnsi="Arial"/>
          <w:color w:val="000000"/>
          <w:sz w:val="22"/>
        </w:rPr>
        <w:t>-- Apogee Therapeutics, Inc. (Nasdaq: APGE), a clinical-stage biotechnology company advancing optimized, novel biologics with the potential for best-in-class profiles in the largest inflammatory and immunology (I&amp;I) markets, today reported second quarter 2026 financial results, recent corporate updates and pipeline progress.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2"/>
        </w:rPr>
      </w:pPr>
      <w:r>
        <w:rPr>
          <w:rFonts w:ascii="Arial" w:hAnsi="Arial"/>
          <w:color w:val="000000"/>
          <w:sz w:val="22"/>
        </w:rPr>
        <w:t>"The second quarter marked a transformational period for Apogee," said Michael Henderson, M.D., Chief Executive Officer of Apogee Therapeutics. "The strength of our Phase 2 APEX Part B results further demonstrated the potential of zumilokibart to redefine treatment for patients with moderate-to-severe atopic dermatitis while reinforcing its broader pipeline-in-a-product opportunity across inflammatory diseases. These results, followed by our strategic financing collaboration with Blackstone Life Sciences and the now pending acquisition by AbbVie, reflect the progress our team has made in advancing a differentiated immunology portfolio. We are grateful to the patients, investigators and employees who made these milestones possible, and we believe AbbVie's scientific expertise, global scale and commercial capabilities provide the best opportunity to realize the full potential of these programs for patients around the world."</w:t>
      </w:r>
    </w:p>
    <w:p>
      <w:pPr>
        <w:pStyle w:val="TextBody"/>
        <w:bidi w:val="0"/>
        <w:spacing w:before="360" w:after="283"/>
        <w:jc w:val="left"/>
        <w:rPr>
          <w:rFonts w:ascii="Arial" w:hAnsi="Arial"/>
          <w:b/>
          <w:color w:val="000000"/>
          <w:sz w:val="22"/>
          <w:u w:val="single"/>
        </w:rPr>
      </w:pPr>
      <w:r>
        <w:rPr>
          <w:rFonts w:ascii="Arial" w:hAnsi="Arial"/>
          <w:b/>
          <w:color w:val="000000"/>
          <w:sz w:val="22"/>
          <w:u w:val="single"/>
        </w:rPr>
        <w:t>Corporate Updates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Arial" w:hAnsi="Arial"/>
          <w:b/>
          <w:color w:val="000000"/>
          <w:sz w:val="22"/>
        </w:rPr>
      </w:pPr>
      <w:r>
        <w:rPr>
          <w:rFonts w:ascii="Arial" w:hAnsi="Arial"/>
          <w:b/>
          <w:color w:val="000000"/>
          <w:sz w:val="22"/>
        </w:rPr>
        <w:t>Pending acquisition by AbbVie positions portfolio for global development and commercialization:</w:t>
      </w:r>
    </w:p>
    <w:p>
      <w:pPr>
        <w:pStyle w:val="TextBody"/>
        <w:bidi w:val="0"/>
        <w:spacing w:before="120" w:after="283"/>
        <w:ind w:left="979"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Arial" w:hAnsi="Arial"/>
          <w:color w:val="000000"/>
          <w:sz w:val="22"/>
        </w:rPr>
      </w:pPr>
      <w:r>
        <w:rPr>
          <w:rFonts w:ascii="Arial" w:hAnsi="Arial"/>
          <w:color w:val="000000"/>
          <w:sz w:val="22"/>
        </w:rPr>
        <w:t xml:space="preserve">In June 2026, Apogee announced that it entered into a definitive agreement to be acquired by AbbVie. Under the terms of the agreement, AbbVie will acquire all outstanding shares of Apogee for $135.11 per share in cash, representing a total equity value of approximately $10.9 billion. The proposed acquisition is expected to strengthen AbbVie's immunology portfolio while advancing the development of Apogee's differentiated pipeline of therapies for inflammatory and immunological diseases. The transaction is expected to close in the third quarter of 2026, subject to customary closing conditions, including shareholder approval and receipt of required regulatory approvals. </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Arial" w:hAnsi="Arial"/>
          <w:b/>
          <w:color w:val="000000"/>
          <w:sz w:val="22"/>
        </w:rPr>
      </w:pPr>
      <w:r>
        <w:rPr>
          <w:rFonts w:ascii="Arial" w:hAnsi="Arial"/>
          <w:b/>
          <w:color w:val="000000"/>
          <w:sz w:val="22"/>
        </w:rPr>
        <w:t>Strategic financing collaboration with Blackstone Life Sciences:</w:t>
      </w:r>
    </w:p>
    <w:p>
      <w:pPr>
        <w:pStyle w:val="TextBody"/>
        <w:bidi w:val="0"/>
        <w:spacing w:before="120" w:after="283"/>
        <w:ind w:left="979"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Arial" w:hAnsi="Arial"/>
          <w:color w:val="000000"/>
          <w:sz w:val="22"/>
        </w:rPr>
      </w:pPr>
      <w:r>
        <w:rPr>
          <w:rFonts w:ascii="Arial" w:hAnsi="Arial"/>
          <w:color w:val="000000"/>
          <w:sz w:val="22"/>
        </w:rPr>
        <w:t>In May 2026, Apogee announced a strategic financing collaboration with Blackstone Life Sciences for up to $1.3 billion in flexible, non-dilutive capital to support the Phase 3 development and potential commercialization of zumilokibart. Combined with the company's existing cash balance at the time, the financing was expected to position Apogee to achieve a self-sustainable financial profile through commercialization without the need for future equity financing.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360" w:after="283"/>
        <w:jc w:val="both"/>
        <w:rPr>
          <w:rFonts w:ascii="Arial" w:hAnsi="Arial"/>
          <w:b/>
          <w:color w:val="000000"/>
          <w:sz w:val="22"/>
          <w:u w:val="single"/>
        </w:rPr>
      </w:pPr>
      <w:r>
        <w:rPr>
          <w:rFonts w:ascii="Arial" w:hAnsi="Arial"/>
          <w:b/>
          <w:color w:val="000000"/>
          <w:sz w:val="22"/>
          <w:u w:val="single"/>
        </w:rPr>
        <w:t>Pipeline Progress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b/>
          <w:color w:val="000000"/>
          <w:sz w:val="22"/>
        </w:rPr>
      </w:pPr>
      <w:r>
        <w:rPr>
          <w:rFonts w:ascii="Arial" w:hAnsi="Arial"/>
          <w:b/>
          <w:color w:val="000000"/>
          <w:sz w:val="22"/>
        </w:rPr>
        <w:t>APEX Phase 2 Part B met all primary and secondary endpoints with high statistical significance; dose optimization results informed dosing plans for upcoming Phase 3 trials expected to launch this year:</w:t>
      </w:r>
    </w:p>
    <w:p>
      <w:pPr>
        <w:pStyle w:val="TextBody"/>
        <w:bidi w:val="0"/>
        <w:spacing w:before="120" w:after="283"/>
        <w:ind w:left="979"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Arial" w:hAnsi="Arial"/>
          <w:color w:val="000000"/>
          <w:sz w:val="22"/>
        </w:rPr>
      </w:pPr>
      <w:r>
        <w:rPr>
          <w:rFonts w:ascii="Arial" w:hAnsi="Arial"/>
          <w:color w:val="000000"/>
          <w:sz w:val="22"/>
        </w:rPr>
        <w:t>In May 2026, the company announced positive 16-week induction dose optimization results from Part B of the APEX Phase 2 trial evaluating zumilokibart in patients with moderate-to-severe atopic dermatitis. The trial met its primary endpoint with 65.9% of patients treated with mid-dose zumilokibart achieving EASI-75 (41.9% placebo adjusted). Key secondary endpoints were also met, with IGA 0/1 in 46.0% of patients, EASI-90 in 47.4%, I-NRS ≥4 improvement in 50.5%, EASI-100 in 16.5%, with very low disease activity (vLDA) in 20.6%, each demonstrating statistically significant improvements versus placebo. Zumilokibart was well tolerated, with a safety profile generally consistent with other agents in the class.</w:t>
      </w:r>
    </w:p>
    <w:p>
      <w:pPr>
        <w:pStyle w:val="TextBody"/>
        <w:bidi w:val="0"/>
        <w:spacing w:before="120" w:after="283"/>
        <w:ind w:left="979"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Arial" w:hAnsi="Arial"/>
          <w:color w:val="000000"/>
          <w:sz w:val="22"/>
        </w:rPr>
      </w:pPr>
      <w:r>
        <w:rPr>
          <w:rFonts w:ascii="Arial" w:hAnsi="Arial"/>
          <w:color w:val="000000"/>
          <w:sz w:val="22"/>
        </w:rPr>
        <w:t xml:space="preserve">Based on these results, as well as findings from APEX Part A, the company selected the mid-dose regimen for planned Phase 3 initiation this year. </w:t>
      </w:r>
    </w:p>
    <w:p>
      <w:pPr>
        <w:pStyle w:val="TextBody"/>
        <w:bidi w:val="0"/>
        <w:spacing w:before="240" w:after="283"/>
        <w:ind w:left="489" w:right="0" w:hanging="0"/>
        <w:jc w:val="both"/>
        <w:rPr>
          <w:color w:val="000000"/>
        </w:rPr>
      </w:pPr>
      <w:r>
        <w:rPr>
          <w:color w:val="000000"/>
        </w:rPr>
        <w:t>•</w:t>
      </w:r>
    </w:p>
    <w:p>
      <w:pPr>
        <w:pStyle w:val="TextBody"/>
        <w:bidi w:val="0"/>
        <w:spacing w:before="240" w:after="283"/>
        <w:jc w:val="both"/>
        <w:rPr>
          <w:rFonts w:ascii="Arial" w:hAnsi="Arial"/>
          <w:b/>
          <w:color w:val="000000"/>
          <w:sz w:val="22"/>
        </w:rPr>
      </w:pPr>
      <w:r>
        <w:rPr>
          <w:rFonts w:ascii="Arial" w:hAnsi="Arial"/>
          <w:b/>
          <w:color w:val="000000"/>
          <w:sz w:val="22"/>
        </w:rPr>
        <w:t xml:space="preserve">Apogee announced trial plans for expansion indications in EoE and asthma: </w:t>
      </w:r>
    </w:p>
    <w:p>
      <w:pPr>
        <w:pStyle w:val="TextBody"/>
        <w:bidi w:val="0"/>
        <w:spacing w:before="120" w:after="283"/>
        <w:ind w:left="1080" w:right="0" w:hanging="0"/>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The ELEVATE Phase 2a trial, an open-label, proof-of-concept study evaluating zumilokibart in patients with eosinophilic esophagitis (EoE), will initiate in 2H 2026. The study is expected to enroll approximately 30 to 50 patients and will assess dosing every three or six months. The primary endpoint is histologic response, including reductions in eosinophil counts, with additional evaluation of endoscopic findings and patient-reported outcomes.</w:t>
      </w:r>
    </w:p>
    <w:p>
      <w:pPr>
        <w:pStyle w:val="TextBody"/>
        <w:bidi w:val="0"/>
        <w:spacing w:before="60" w:after="283"/>
        <w:ind w:left="1080" w:right="0" w:hanging="0"/>
        <w:jc w:val="both"/>
        <w:rPr>
          <w:color w:val="000000"/>
        </w:rPr>
      </w:pPr>
      <w:r>
        <w:rPr>
          <w:color w:val="000000"/>
        </w:rPr>
        <w:t>○</w:t>
      </w:r>
    </w:p>
    <w:p>
      <w:pPr>
        <w:pStyle w:val="TextBody"/>
        <w:bidi w:val="0"/>
        <w:spacing w:before="60" w:after="283"/>
        <w:jc w:val="both"/>
        <w:rPr>
          <w:rFonts w:ascii="Arial" w:hAnsi="Arial"/>
          <w:color w:val="000000"/>
          <w:sz w:val="22"/>
        </w:rPr>
      </w:pPr>
      <w:r>
        <w:rPr>
          <w:rFonts w:ascii="Arial" w:hAnsi="Arial"/>
          <w:color w:val="000000"/>
          <w:sz w:val="22"/>
        </w:rPr>
        <w:t>The ASPIRE Phase 2b trial, a randomized, placebo-controlled study evaluating multiple dosing regimens of zumilokibart in patients with moderate-to-severe asthma with elevated Type 2 biomarkers and a history of exacerbations, will initiate in 1H 2027. The study is designed to be potentially registrational and is expected to enroll approximately 500 patients randomized across dosing intervals of every three, six, or twelve months, or placebo. The primary endpoint is annualized exacerbation rate at Week 52, with additional assessments of lung function and symptoms.</w:t>
      </w:r>
    </w:p>
    <w:p>
      <w:pPr>
        <w:pStyle w:val="TextBody"/>
        <w:bidi w:val="0"/>
        <w:spacing w:before="240" w:after="283"/>
        <w:ind w:left="489" w:right="0" w:hanging="0"/>
        <w:jc w:val="both"/>
        <w:rPr>
          <w:color w:val="000000"/>
        </w:rPr>
      </w:pPr>
      <w:r>
        <w:rPr>
          <w:color w:val="000000"/>
        </w:rPr>
        <w:t>•</w:t>
      </w:r>
    </w:p>
    <w:p>
      <w:pPr>
        <w:pStyle w:val="TextBody"/>
        <w:bidi w:val="0"/>
        <w:spacing w:before="240" w:after="283"/>
        <w:jc w:val="both"/>
        <w:rPr>
          <w:rFonts w:ascii="Arial" w:hAnsi="Arial"/>
          <w:b/>
          <w:color w:val="000000"/>
          <w:sz w:val="22"/>
        </w:rPr>
      </w:pPr>
      <w:r>
        <w:rPr>
          <w:rFonts w:ascii="Arial" w:hAnsi="Arial"/>
          <w:b/>
          <w:color w:val="000000"/>
          <w:sz w:val="22"/>
        </w:rPr>
        <w:t>Combination pipeline continues to advance across AD and respiratory conditions for APG279 and APG273 with potential for improved efficacy and dosing:</w:t>
      </w:r>
    </w:p>
    <w:p>
      <w:pPr>
        <w:pStyle w:val="TextBody"/>
        <w:bidi w:val="0"/>
        <w:spacing w:before="120" w:after="283"/>
        <w:ind w:left="1080" w:right="0" w:hanging="0"/>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The Phase 1b head-to-head study evaluating APG279 (zumilokibart + APG990) versus DUPIXENT® in atopic dermatitis is ongoing, with interim data expected in 2H 2026.</w:t>
      </w:r>
    </w:p>
    <w:p>
      <w:pPr>
        <w:pStyle w:val="TextBody"/>
        <w:bidi w:val="0"/>
        <w:spacing w:before="120" w:after="283"/>
        <w:ind w:left="1080" w:right="0" w:hanging="0"/>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APG273 (zumilokibart + APG333), a long-acting IL-13/TSLP combination, continues to represent a differentiated respiratory program supported by positive Phase 1 data for APG333, with additional plans to be announced in 2H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360" w:after="283"/>
        <w:jc w:val="both"/>
        <w:rPr>
          <w:rFonts w:ascii="Arial" w:hAnsi="Arial"/>
          <w:b/>
          <w:color w:val="000000"/>
          <w:sz w:val="22"/>
          <w:u w:val="single"/>
        </w:rPr>
      </w:pPr>
      <w:r>
        <w:rPr>
          <w:rFonts w:ascii="Arial" w:hAnsi="Arial"/>
          <w:b/>
          <w:color w:val="000000"/>
          <w:sz w:val="22"/>
          <w:u w:val="single"/>
        </w:rPr>
        <w:t>Second Quarter 2026 Financial Results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Arial" w:hAnsi="Arial"/>
          <w:b/>
          <w:color w:val="000000"/>
          <w:sz w:val="22"/>
        </w:rPr>
        <w:t xml:space="preserve">Cash Position: </w:t>
      </w:r>
      <w:r>
        <w:rPr>
          <w:rFonts w:ascii="Arial" w:hAnsi="Arial"/>
          <w:color w:val="000000"/>
          <w:sz w:val="22"/>
        </w:rPr>
        <w:t>Cash, cash equivalents, marketable securities and long-term marketable securities were $1.3 billion as of June 30, 2026, compared to $621.2 million as of June 30, 2025.</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Arial" w:hAnsi="Arial"/>
          <w:b/>
          <w:color w:val="000000"/>
          <w:sz w:val="22"/>
        </w:rPr>
        <w:t>R&amp;D Expenses:</w:t>
      </w:r>
      <w:r>
        <w:rPr>
          <w:color w:val="000000"/>
        </w:rPr>
        <w:t xml:space="preserve"> </w:t>
      </w:r>
      <w:r>
        <w:rPr>
          <w:rFonts w:ascii="Arial" w:hAnsi="Arial"/>
          <w:color w:val="000000"/>
          <w:sz w:val="22"/>
        </w:rPr>
        <w:t>Research and development (R&amp;D) expenses were $67.3 million for the quarter ended June 30, 2026, compared to $55.7 million for the quarter ended June 30, 2025. R&amp;D expenses increased primarily driven by the continued development of our zumilokibart program and higher personnel and equity-based compensation expenses associated with the growth in our research and development team.</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Arial" w:hAnsi="Arial"/>
          <w:b/>
          <w:color w:val="000000"/>
          <w:sz w:val="22"/>
        </w:rPr>
        <w:t>G&amp;A Expenses:</w:t>
      </w:r>
      <w:r>
        <w:rPr>
          <w:color w:val="000000"/>
        </w:rPr>
        <w:t xml:space="preserve"> </w:t>
      </w:r>
      <w:r>
        <w:rPr>
          <w:rFonts w:ascii="Arial" w:hAnsi="Arial"/>
          <w:color w:val="000000"/>
          <w:sz w:val="22"/>
        </w:rPr>
        <w:t>General and administrative (G&amp;A) expenses were $24.3 million for the quarter ended June 30, 2026, compared to $17.5 million for the quarter ended June 30, 2025. G&amp;A expenses increased primarily due to increases in personnel-related expenses and equity-based compensation, primarily driven by increased headcount and an increase in the fair value of equity awards granted. These increases are the result of the company’s expansion of operations to support the growth of its business.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Arial" w:hAnsi="Arial"/>
          <w:b/>
          <w:color w:val="000000"/>
          <w:sz w:val="22"/>
        </w:rPr>
        <w:t>Net Loss:</w:t>
      </w:r>
      <w:r>
        <w:rPr>
          <w:color w:val="000000"/>
        </w:rPr>
        <w:t xml:space="preserve"> </w:t>
      </w:r>
      <w:r>
        <w:rPr>
          <w:rFonts w:ascii="Arial" w:hAnsi="Arial"/>
          <w:color w:val="000000"/>
          <w:sz w:val="22"/>
        </w:rPr>
        <w:t>Net loss was $85.9 million for the quarter ended June 30, 2026, compared to a net loss of $66.1 million for the quarter ended June 30, 2025. Net loss increased primarily as a result of higher R&amp;D and G&amp;A expenses as described above.</w:t>
      </w:r>
    </w:p>
    <w:p>
      <w:pPr>
        <w:pStyle w:val="TextBody"/>
        <w:bidi w:val="0"/>
        <w:spacing w:before="360" w:after="283"/>
        <w:jc w:val="both"/>
        <w:rPr>
          <w:rFonts w:ascii="Arial" w:hAnsi="Arial"/>
          <w:b/>
          <w:color w:val="000000"/>
          <w:sz w:val="22"/>
        </w:rPr>
      </w:pPr>
      <w:r>
        <w:rPr>
          <w:rFonts w:ascii="Arial" w:hAnsi="Arial"/>
          <w:b/>
          <w:color w:val="000000"/>
          <w:sz w:val="22"/>
        </w:rPr>
        <w:t>About Apogee</w:t>
      </w:r>
    </w:p>
    <w:p>
      <w:pPr>
        <w:pStyle w:val="TextBody"/>
        <w:bidi w:val="0"/>
        <w:spacing w:before="120" w:after="283"/>
        <w:jc w:val="both"/>
        <w:rPr>
          <w:rFonts w:ascii="Times New Roman" w:hAnsi="Times New Roman"/>
          <w:sz w:val="20"/>
        </w:rPr>
      </w:pPr>
      <w:r>
        <w:rPr>
          <w:rFonts w:ascii="Arial" w:hAnsi="Arial"/>
          <w:color w:val="000000"/>
          <w:sz w:val="22"/>
        </w:rPr>
        <w:t xml:space="preserve">Apogee Therapeutics is a clinical-stage biotechnology company advancing novel biologics with potential for differentiated efficacy and dosing in the largest I&amp;I markets, including for the treatment of AD, asthma, EoE, Chronic Obstructive Pulmonary Disease (COPD) and other I&amp;I indications. Apogee’s antibody programs are designed to overcome limitations of existing therapies by targeting well-established mechanisms of action and incorporating advanced antibody engineering to optimize half-life and other properties. Zumilokibart, the company’s most advanced program, is being initially developed for the treatment of AD, which is the largest and one of the least penetrated I&amp;I markets, as well as asthma and EoE. With five validated targets in its portfolio, Apogee is seeking to achieve best-in-class efficacy and dosing through monotherapies and combinations of its novel antibodies. Based on a broad pipeline and depth of expertise, the company believes it can deliver value and meaningful benefit to patients underserved by today’s standard of care. For more information, please visit </w:t>
      </w:r>
      <w:r>
        <w:rPr>
          <w:rFonts w:ascii="Arial" w:hAnsi="Arial"/>
          <w:sz w:val="22"/>
        </w:rPr>
        <w:t>https://apogeetherapeutics.com</w:t>
      </w:r>
      <w:r>
        <w:rPr>
          <w:rFonts w:ascii="Arial" w:hAnsi="Arial"/>
          <w:color w:val="000000"/>
          <w:sz w:val="22"/>
        </w:rPr>
        <w:t>.</w:t>
      </w:r>
    </w:p>
    <w:p>
      <w:pPr>
        <w:pStyle w:val="TextBody"/>
        <w:bidi w:val="0"/>
        <w:spacing w:before="360" w:after="283"/>
        <w:jc w:val="both"/>
        <w:rPr>
          <w:rFonts w:ascii="Arial" w:hAnsi="Arial"/>
          <w:b/>
          <w:color w:val="000000"/>
          <w:sz w:val="22"/>
          <w:u w:val="single"/>
        </w:rPr>
      </w:pPr>
      <w:r>
        <w:rPr>
          <w:rFonts w:ascii="Arial" w:hAnsi="Arial"/>
          <w:b/>
          <w:color w:val="000000"/>
          <w:sz w:val="22"/>
          <w:u w:val="single"/>
        </w:rPr>
        <w:t>Cautionary Statement Regarding Forward-Looking Statements</w:t>
      </w:r>
    </w:p>
    <w:p>
      <w:pPr>
        <w:pStyle w:val="TextBody"/>
        <w:bidi w:val="0"/>
        <w:spacing w:before="120" w:after="283"/>
        <w:jc w:val="both"/>
        <w:rPr>
          <w:rFonts w:ascii="Times New Roman" w:hAnsi="Times New Roman"/>
          <w:sz w:val="20"/>
        </w:rPr>
      </w:pPr>
      <w:r>
        <w:rPr>
          <w:rFonts w:ascii="Arial" w:hAnsi="Arial"/>
          <w:color w:val="000000"/>
          <w:sz w:val="22"/>
        </w:rPr>
        <w:t>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timing of the closing of the proposed acquisition and other transactions contemplated by the merger agreement governing the proposed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0" w:after="283"/>
        <w:jc w:val="both"/>
        <w:rPr>
          <w:rFonts w:ascii="Arial" w:hAnsi="Arial"/>
          <w:color w:val="000000"/>
          <w:sz w:val="22"/>
        </w:rPr>
      </w:pPr>
      <w:r>
        <w:rPr>
          <w:rFonts w:ascii="Arial" w:hAnsi="Arial"/>
          <w:color w:val="000000"/>
          <w:sz w:val="22"/>
        </w:rPr>
        <w:t>acquisition (the “Merger Agreement”), and the potential of zumilokibart (APG777) and other Apogee pipeline assets.</w:t>
      </w:r>
    </w:p>
    <w:p>
      <w:pPr>
        <w:pStyle w:val="TextBody"/>
        <w:bidi w:val="0"/>
        <w:spacing w:before="240" w:after="283"/>
        <w:jc w:val="both"/>
        <w:rPr>
          <w:rFonts w:ascii="Arial" w:hAnsi="Arial"/>
          <w:color w:val="000000"/>
          <w:sz w:val="22"/>
        </w:rPr>
      </w:pPr>
      <w:r>
        <w:rPr>
          <w:rFonts w:ascii="Arial" w:hAnsi="Arial"/>
          <w:color w:val="000000"/>
          <w:sz w:val="22"/>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pStyle w:val="TextBody"/>
        <w:bidi w:val="0"/>
        <w:spacing w:before="240" w:after="283"/>
        <w:jc w:val="both"/>
        <w:rPr>
          <w:rFonts w:ascii="Times New Roman" w:hAnsi="Times New Roman"/>
          <w:sz w:val="20"/>
        </w:rPr>
      </w:pPr>
      <w:r>
        <w:rPr>
          <w:rFonts w:ascii="Arial" w:hAnsi="Arial"/>
          <w:color w:val="000000"/>
          <w:sz w:val="22"/>
        </w:rPr>
        <w:t>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jc w:val="both"/>
        <w:rPr>
          <w:rFonts w:ascii="Times New Roman" w:hAnsi="Times New Roman"/>
          <w:sz w:val="20"/>
        </w:rPr>
      </w:pPr>
      <w:r>
        <w:rPr>
          <w:rFonts w:ascii="Arial" w:hAnsi="Arial"/>
          <w:color w:val="000000"/>
          <w:sz w:val="22"/>
        </w:rPr>
        <w:t xml:space="preserve">recently filed Annual Report on Form 10-K filed on </w:t>
      </w:r>
      <w:r>
        <w:rPr>
          <w:rFonts w:ascii="Arial" w:hAnsi="Arial"/>
          <w:sz w:val="22"/>
        </w:rPr>
        <w:t>February 20, 2026</w:t>
      </w:r>
      <w:r>
        <w:rPr>
          <w:rFonts w:ascii="Arial" w:hAnsi="Arial"/>
          <w:color w:val="000000"/>
          <w:sz w:val="22"/>
        </w:rPr>
        <w:t xml:space="preserve">, and </w:t>
      </w:r>
      <w:r>
        <w:rPr>
          <w:rFonts w:ascii="Arial" w:hAnsi="Arial"/>
          <w:sz w:val="22"/>
        </w:rPr>
        <w:t>March 2, 2026</w:t>
      </w:r>
      <w:r>
        <w:rPr>
          <w:rFonts w:ascii="Arial" w:hAnsi="Arial"/>
          <w:color w:val="000000"/>
          <w:sz w:val="22"/>
        </w:rPr>
        <w:t>, respectively, and subsequent Quarterly Reports on Form 10-Q and Current Reports on Form 8-K.</w:t>
      </w:r>
    </w:p>
    <w:p>
      <w:pPr>
        <w:pStyle w:val="TextBody"/>
        <w:bidi w:val="0"/>
        <w:spacing w:before="240" w:after="283"/>
        <w:jc w:val="both"/>
        <w:rPr>
          <w:rFonts w:ascii="Arial" w:hAnsi="Arial"/>
          <w:color w:val="000000"/>
          <w:sz w:val="22"/>
        </w:rPr>
      </w:pPr>
      <w:r>
        <w:rPr>
          <w:rFonts w:ascii="Arial" w:hAnsi="Arial"/>
          <w:color w:val="000000"/>
          <w:sz w:val="22"/>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pStyle w:val="TextBody"/>
        <w:bidi w:val="0"/>
        <w:spacing w:before="360" w:after="283"/>
        <w:jc w:val="both"/>
        <w:rPr>
          <w:rFonts w:ascii="Arial" w:hAnsi="Arial"/>
          <w:b/>
          <w:color w:val="000000"/>
          <w:sz w:val="22"/>
          <w:u w:val="single"/>
        </w:rPr>
      </w:pPr>
      <w:r>
        <w:rPr>
          <w:rFonts w:ascii="Arial" w:hAnsi="Arial"/>
          <w:b/>
          <w:color w:val="000000"/>
          <w:sz w:val="22"/>
          <w:u w:val="single"/>
        </w:rPr>
        <w:t>Additional Information and Where to Find It</w:t>
      </w:r>
    </w:p>
    <w:p>
      <w:pPr>
        <w:pStyle w:val="TextBody"/>
        <w:bidi w:val="0"/>
        <w:spacing w:before="120" w:after="283"/>
        <w:jc w:val="both"/>
        <w:rPr>
          <w:rFonts w:ascii="Times New Roman" w:hAnsi="Times New Roman"/>
          <w:sz w:val="20"/>
        </w:rPr>
      </w:pPr>
      <w:r>
        <w:rPr>
          <w:rFonts w:ascii="Arial" w:hAnsi="Arial"/>
          <w:color w:val="000000"/>
          <w:sz w:val="22"/>
        </w:rPr>
        <w:t>This communication is being made in respect of the proposed transaction involving Apogee and AbbVie. Apogee has filed a definitive proxy statement and a form of proxy card with the SEC in connection with the solicitation of proxies for the special meeting of Apogee’s stockholders (the “Definitive Proxy Statement”). This communication is not a substitute for the Definitive Proxy Statement or any other document that may be filed by Apogee with the SEC.</w:t>
      </w:r>
      <w:r>
        <w:rPr>
          <w:rFonts w:ascii="Times New Roman" w:hAnsi="Times New Roman"/>
          <w:color w:val="000000"/>
          <w:sz w:val="20"/>
        </w:rPr>
        <w:t xml:space="preserve"> </w:t>
      </w:r>
    </w:p>
    <w:p>
      <w:pPr>
        <w:pStyle w:val="TextBody"/>
        <w:bidi w:val="0"/>
        <w:spacing w:before="240" w:after="283"/>
        <w:jc w:val="both"/>
        <w:rPr>
          <w:rFonts w:ascii="Arial" w:hAnsi="Arial"/>
          <w:color w:val="000000"/>
          <w:sz w:val="22"/>
        </w:rPr>
      </w:pPr>
      <w:r>
        <w:rPr>
          <w:rFonts w:ascii="Arial" w:hAnsi="Arial"/>
          <w:color w:val="000000"/>
          <w:sz w:val="22"/>
        </w:rPr>
        <w:t>BEFORE MAKING ANY DECISION, APOGEE STOCKHOLDERS ARE URGED TO CAREFULLY READ THE DEFINITIVE PROXY STATEMENT (INCLUDING ANY AMENDMENTS OR SUPPLEMENTS THERETO), AND ANY OTHER RELEVANT DOCUMENTS FILED OR TO BE FILED WITH THE SEC IN CONNECTION WITH THE PROPOSED TRANSACTION OR INCORPORATED BY REFERENCE INTO THE DEFINITIVE PROXY STATEMENT WHEN THEY BECOME AVAILABLE BECAUSE THEY WILL CONTAIN IMPORTANT INFORMATION ABOUT THE PROPOSED TRANSACTION.</w:t>
      </w:r>
    </w:p>
    <w:p>
      <w:pPr>
        <w:pStyle w:val="TextBody"/>
        <w:bidi w:val="0"/>
        <w:spacing w:before="240" w:after="283"/>
        <w:jc w:val="both"/>
        <w:rPr>
          <w:rFonts w:ascii="Times New Roman" w:hAnsi="Times New Roman"/>
          <w:sz w:val="20"/>
        </w:rPr>
      </w:pPr>
      <w:r>
        <w:rPr>
          <w:rFonts w:ascii="Arial" w:hAnsi="Arial"/>
          <w:color w:val="000000"/>
          <w:sz w:val="22"/>
        </w:rPr>
        <w:t xml:space="preserve">Any vote in respect of resolutions to be proposed at the special meeting of Apogee’s stockholders to approve the proposed transaction or other responses in relation to the proposed transaction should be made only on the basis of the information contained in the Definitive Proxy Statement. You may obtain free copies of the Definitive Proxy Statement and other related documents (when available) filed by Apogee with the SEC at the website maintained by the SEC at </w:t>
      </w:r>
      <w:r>
        <w:rPr>
          <w:rFonts w:ascii="Arial" w:hAnsi="Arial"/>
          <w:sz w:val="22"/>
        </w:rPr>
        <w:t>www.sec.gov</w:t>
      </w:r>
      <w:r>
        <w:rPr>
          <w:rFonts w:ascii="Times New Roman" w:hAnsi="Times New Roman"/>
          <w:color w:val="000000"/>
          <w:sz w:val="20"/>
        </w:rPr>
        <w:t xml:space="preserve"> </w:t>
      </w:r>
      <w:r>
        <w:rPr>
          <w:rFonts w:ascii="Arial" w:hAnsi="Arial"/>
          <w:color w:val="000000"/>
          <w:sz w:val="22"/>
        </w:rPr>
        <w:t xml:space="preserve">or by accessing the Investors section of Apogee’s website at </w:t>
      </w:r>
      <w:r>
        <w:rPr>
          <w:rFonts w:ascii="Arial" w:hAnsi="Arial"/>
          <w:sz w:val="22"/>
        </w:rPr>
        <w:t>https://investors.apogeetherapeutics.com</w:t>
      </w:r>
      <w:r>
        <w:rPr>
          <w:rFonts w:ascii="Arial" w:hAnsi="Arial"/>
          <w:color w:val="000000"/>
          <w:sz w:val="22"/>
        </w:rPr>
        <w:t>.</w:t>
      </w:r>
    </w:p>
    <w:p>
      <w:pPr>
        <w:pStyle w:val="TextBody"/>
        <w:bidi w:val="0"/>
        <w:spacing w:before="360" w:after="283"/>
        <w:jc w:val="both"/>
        <w:rPr>
          <w:rFonts w:ascii="Arial" w:hAnsi="Arial"/>
          <w:b/>
          <w:color w:val="000000"/>
          <w:sz w:val="22"/>
          <w:u w:val="single"/>
        </w:rPr>
      </w:pPr>
      <w:r>
        <w:rPr>
          <w:rFonts w:ascii="Arial" w:hAnsi="Arial"/>
          <w:b/>
          <w:color w:val="000000"/>
          <w:sz w:val="22"/>
          <w:u w:val="single"/>
        </w:rPr>
        <w:t>No Offer or Solicitation</w:t>
      </w:r>
    </w:p>
    <w:p>
      <w:pPr>
        <w:pStyle w:val="TextBody"/>
        <w:bidi w:val="0"/>
        <w:spacing w:before="120" w:after="283"/>
        <w:jc w:val="both"/>
        <w:rPr>
          <w:rFonts w:ascii="Arial" w:hAnsi="Arial"/>
          <w:color w:val="000000"/>
          <w:sz w:val="22"/>
        </w:rPr>
      </w:pPr>
      <w:r>
        <w:rPr>
          <w:rFonts w:ascii="Arial" w:hAnsi="Arial"/>
          <w:color w:val="000000"/>
          <w:sz w:val="22"/>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pStyle w:val="TextBody"/>
        <w:bidi w:val="0"/>
        <w:jc w:val="both"/>
        <w:rPr/>
      </w:pPr>
      <w:r>
        <w:rPr/>
        <w:t> </w:t>
      </w:r>
    </w:p>
    <w:p>
      <w:pPr>
        <w:pStyle w:val="TextBody"/>
        <w:bidi w:val="0"/>
        <w:spacing w:before="360" w:after="283"/>
        <w:jc w:val="both"/>
        <w:rPr>
          <w:rFonts w:ascii="Arial" w:hAnsi="Arial"/>
          <w:b/>
          <w:color w:val="000000"/>
          <w:sz w:val="22"/>
          <w:u w:val="single"/>
        </w:rPr>
      </w:pPr>
      <w:r>
        <w:rPr>
          <w:rFonts w:ascii="Arial" w:hAnsi="Arial"/>
          <w:b/>
          <w:color w:val="000000"/>
          <w:sz w:val="22"/>
          <w:u w:val="single"/>
        </w:rPr>
        <w:t>Participants in the Solicitation</w:t>
      </w:r>
    </w:p>
    <w:p>
      <w:pPr>
        <w:pStyle w:val="TextBody"/>
        <w:bidi w:val="0"/>
        <w:spacing w:before="120" w:after="283"/>
        <w:jc w:val="both"/>
        <w:rPr>
          <w:rFonts w:ascii="Times New Roman" w:hAnsi="Times New Roman"/>
          <w:sz w:val="20"/>
        </w:rPr>
      </w:pPr>
      <w:r>
        <w:rPr>
          <w:rFonts w:ascii="Arial" w:hAnsi="Arial"/>
          <w:color w:val="000000"/>
          <w:sz w:val="22"/>
        </w:rPr>
        <w:t>Apogee, AbbVie and their respective directors and executive officers and certain of their employees may be deemed to be participants in the solicitation of proxies from Apogee’s stockholders in connection with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0" w:after="283"/>
        <w:jc w:val="both"/>
        <w:rPr>
          <w:rFonts w:ascii="Times New Roman" w:hAnsi="Times New Roman"/>
          <w:sz w:val="20"/>
        </w:rPr>
      </w:pPr>
      <w:r>
        <w:rPr>
          <w:rFonts w:ascii="Arial" w:hAnsi="Arial"/>
          <w:color w:val="000000"/>
          <w:sz w:val="22"/>
        </w:rPr>
        <w:t xml:space="preserve">the proposed transaction. Information regarding Apogee’s directors and executive officers is set forth under the captions “The Merger—Interests of Apogee’s Directors and Executive Officers in the Merger” and “Security Ownership of Certain Beneficial Owners and Management” in the Definitive Proxy Statement filed with the SEC on </w:t>
      </w:r>
      <w:r>
        <w:rPr>
          <w:rFonts w:ascii="Arial" w:hAnsi="Arial"/>
          <w:sz w:val="22"/>
        </w:rPr>
        <w:t>July 13, 2026</w:t>
      </w:r>
      <w:r>
        <w:rPr>
          <w:rFonts w:ascii="Arial" w:hAnsi="Arial"/>
          <w:color w:val="000000"/>
          <w:sz w:val="22"/>
        </w:rPr>
        <w:t xml:space="preserve">; under the captions “Proposal 1: Election of Directors,” “Corporate Governance,” “Executive Officers,” “Executive Compensation” and “Certain Information About Our Common Stock” in the definitive proxy statement for Apogee’s 2026 Annual Meeting of Stockholders, filed with the SEC on </w:t>
      </w:r>
      <w:r>
        <w:rPr>
          <w:rFonts w:ascii="Arial" w:hAnsi="Arial"/>
          <w:sz w:val="22"/>
        </w:rPr>
        <w:t>April 24, 2026</w:t>
      </w:r>
      <w:r>
        <w:rPr>
          <w:rFonts w:ascii="Arial" w:hAnsi="Arial"/>
          <w:color w:val="000000"/>
          <w:sz w:val="22"/>
        </w:rPr>
        <w:t xml:space="preserve">; and in Apogee’s Current Reports on Form 8-K, filed with the SEC on </w:t>
      </w:r>
      <w:r>
        <w:rPr>
          <w:rFonts w:ascii="Arial" w:hAnsi="Arial"/>
          <w:sz w:val="22"/>
        </w:rPr>
        <w:t>April 24, 2026</w:t>
      </w:r>
      <w:r>
        <w:rPr>
          <w:rFonts w:ascii="Arial" w:hAnsi="Arial"/>
          <w:color w:val="000000"/>
          <w:sz w:val="22"/>
        </w:rPr>
        <w:t xml:space="preserve">, and </w:t>
      </w:r>
      <w:r>
        <w:rPr>
          <w:rFonts w:ascii="Arial" w:hAnsi="Arial"/>
          <w:sz w:val="22"/>
        </w:rPr>
        <w:t>June 12, 2026</w:t>
      </w:r>
      <w:r>
        <w:rPr>
          <w:rFonts w:ascii="Arial" w:hAnsi="Arial"/>
          <w:color w:val="000000"/>
          <w:sz w:val="22"/>
        </w:rPr>
        <w:t xml:space="preserve">. Information regarding AbbVie’s directors and executive officers is set forth under the captions “Information Concerning Director Nominees,” “The Board of Directors and its Committees,” “Director Compensation,” “Securities Ownership” and “Executive Compensation” in the definitive proxy statement for AbbVie’s 2026 Annual Meeting of Stockholders, filed with the SEC on </w:t>
      </w:r>
      <w:r>
        <w:rPr>
          <w:rFonts w:ascii="Arial" w:hAnsi="Arial"/>
          <w:sz w:val="22"/>
        </w:rPr>
        <w:t>March 23, 2026</w:t>
      </w:r>
      <w:r>
        <w:rPr>
          <w:rFonts w:ascii="Arial" w:hAnsi="Arial"/>
          <w:color w:val="000000"/>
          <w:sz w:val="22"/>
        </w:rPr>
        <w:t xml:space="preserve">; and in AbbVie’s Current Report on Form 8-K, filed with the SEC on </w:t>
      </w:r>
      <w:r>
        <w:rPr>
          <w:rFonts w:ascii="Arial" w:hAnsi="Arial"/>
          <w:sz w:val="22"/>
        </w:rPr>
        <w:t>May 12, 2026</w:t>
      </w:r>
      <w:r>
        <w:rPr>
          <w:rFonts w:ascii="Arial" w:hAnsi="Arial"/>
          <w:color w:val="000000"/>
          <w:sz w:val="22"/>
        </w:rPr>
        <w:t xml:space="preserve">. To the extent holdings of Apogee’s securities and AbbVie’s securities by their respective directors or executive officers have changed since the amounts set forth in such filings, such changes have been or will be reflected on Initial Statements of Beneficial Ownership on Form 3 or Statements of Beneficial Ownership on Form 4 filed with the SEC. These documents may be obtained free of charge from the SEC’s website at www.sec.gov or by accessing the Investors section of Apogee’s website at </w:t>
      </w:r>
      <w:r>
        <w:rPr>
          <w:rFonts w:ascii="Arial" w:hAnsi="Arial"/>
          <w:sz w:val="22"/>
        </w:rPr>
        <w:t>https://investors.apogeetherapeutics.com</w:t>
      </w:r>
      <w:r>
        <w:rPr>
          <w:rFonts w:ascii="Times New Roman" w:hAnsi="Times New Roman"/>
          <w:color w:val="000000"/>
          <w:sz w:val="20"/>
        </w:rPr>
        <w:t xml:space="preserve"> </w:t>
      </w:r>
      <w:r>
        <w:rPr>
          <w:rFonts w:ascii="Arial" w:hAnsi="Arial"/>
          <w:color w:val="000000"/>
          <w:sz w:val="22"/>
        </w:rPr>
        <w:t xml:space="preserve">and the Investors section of AbbVie’s website at </w:t>
      </w:r>
      <w:r>
        <w:rPr>
          <w:rFonts w:ascii="Arial" w:hAnsi="Arial"/>
          <w:sz w:val="22"/>
        </w:rPr>
        <w:t>https://investors.abbvie.com</w:t>
      </w:r>
      <w:r>
        <w:rPr>
          <w:rFonts w:ascii="Arial" w:hAnsi="Arial"/>
          <w:color w:val="000000"/>
          <w:sz w:val="22"/>
        </w:rPr>
        <w:t>. Additional information regarding the interests of participants in the solicitation of proxies in connection with the proposed transaction will be included in the Definitive Proxy Statement and other relevant materials Apogee may file with the SEC.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360" w:after="283"/>
        <w:jc w:val="center"/>
        <w:rPr/>
      </w:pPr>
      <w:r>
        <w:rPr/>
        <w:t>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APOGEE THERAPEUTICS, INC.</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CONDENSED CONSOLIDATED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spacing w:before="0" w:after="240"/>
        <w:jc w:val="center"/>
        <w:rPr>
          <w:rFonts w:ascii="Times New Roman" w:hAnsi="Times New Roman"/>
          <w:color w:val="000000"/>
          <w:sz w:val="18"/>
        </w:rPr>
      </w:pPr>
      <w:r>
        <w:rPr>
          <w:rFonts w:ascii="Times New Roman" w:hAnsi="Times New Roman"/>
          <w:color w:val="000000"/>
          <w:sz w:val="18"/>
        </w:rPr>
        <w:t>(In thousands, except share data)</w:t>
      </w:r>
    </w:p>
    <w:tbl>
      <w:tblPr>
        <w:tblW w:w="10205" w:type="dxa"/>
        <w:jc w:val="left"/>
        <w:tblInd w:w="0" w:type="dxa"/>
        <w:tblLayout w:type="fixed"/>
        <w:tblCellMar>
          <w:top w:w="28" w:type="dxa"/>
          <w:left w:w="28" w:type="dxa"/>
          <w:bottom w:w="28" w:type="dxa"/>
          <w:right w:w="28" w:type="dxa"/>
        </w:tblCellMar>
      </w:tblPr>
      <w:tblGrid>
        <w:gridCol w:w="6861"/>
        <w:gridCol w:w="146"/>
        <w:gridCol w:w="196"/>
        <w:gridCol w:w="826"/>
        <w:gridCol w:w="166"/>
        <w:gridCol w:w="146"/>
        <w:gridCol w:w="239"/>
        <w:gridCol w:w="1012"/>
        <w:gridCol w:w="613"/>
      </w:tblGrid>
      <w:tr>
        <w:trPr/>
        <w:tc>
          <w:tcPr>
            <w:tcW w:w="6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JUNE 30,</w:t>
            </w:r>
            <w:r>
              <w:rPr>
                <w:rFonts w:ascii="Times New Roman" w:hAnsi="Times New Roman"/>
                <w:color w:val="000000"/>
                <w:sz w:val="18"/>
              </w:rPr>
              <w:br/>
            </w: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DECEMBER 31,</w:t>
            </w:r>
            <w:r>
              <w:rPr>
                <w:rFonts w:ascii="Times New Roman" w:hAnsi="Times New Roman"/>
                <w:color w:val="000000"/>
                <w:sz w:val="18"/>
              </w:rPr>
              <w:br/>
            </w:r>
            <w:r>
              <w:rPr>
                <w:rFonts w:ascii="Times New Roman" w:hAnsi="Times New Roman"/>
                <w:b/>
                <w:color w:val="000000"/>
                <w:sz w:val="18"/>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131,549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598,643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741,358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172,730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937,134</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23,181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 liability,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Revenue share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33,251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Common Stock; $0.00001 par value, 400,000,000 authorized, 75,611,894 issued and 75,339,499 outstanding as of June 30, 2026; 400,000,000 authorized, 69,038,943 issued and 68,401,349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1,918,830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1,464,561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(561,759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903,883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937,134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360" w:after="283"/>
        <w:jc w:val="center"/>
        <w:rPr/>
      </w:pPr>
      <w:r>
        <w:rPr/>
        <w:t>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APOGEE THERAPEUTICS, INC.</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CONDENSED CONSOLIDATED STATEMENTS OF OPERATIONS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spacing w:before="0" w:after="200"/>
        <w:jc w:val="center"/>
        <w:rPr>
          <w:rFonts w:ascii="Times New Roman" w:hAnsi="Times New Roman"/>
          <w:color w:val="000000"/>
          <w:sz w:val="18"/>
        </w:rPr>
      </w:pPr>
      <w:r>
        <w:rPr>
          <w:rFonts w:ascii="Times New Roman" w:hAnsi="Times New Roman"/>
          <w:color w:val="000000"/>
          <w:sz w:val="18"/>
        </w:rPr>
        <w:t>(In thousands)</w:t>
      </w:r>
    </w:p>
    <w:tbl>
      <w:tblPr>
        <w:tblW w:w="8589" w:type="dxa"/>
        <w:jc w:val="left"/>
        <w:tblInd w:w="0" w:type="dxa"/>
        <w:tblLayout w:type="fixed"/>
        <w:tblCellMar>
          <w:top w:w="28" w:type="dxa"/>
          <w:left w:w="28" w:type="dxa"/>
          <w:bottom w:w="28" w:type="dxa"/>
          <w:right w:w="28" w:type="dxa"/>
        </w:tblCellMar>
      </w:tblPr>
      <w:tblGrid>
        <w:gridCol w:w="2276"/>
        <w:gridCol w:w="146"/>
        <w:gridCol w:w="296"/>
        <w:gridCol w:w="998"/>
        <w:gridCol w:w="250"/>
        <w:gridCol w:w="220"/>
        <w:gridCol w:w="296"/>
        <w:gridCol w:w="998"/>
        <w:gridCol w:w="166"/>
        <w:gridCol w:w="146"/>
        <w:gridCol w:w="196"/>
        <w:gridCol w:w="751"/>
        <w:gridCol w:w="166"/>
        <w:gridCol w:w="146"/>
        <w:gridCol w:w="196"/>
        <w:gridCol w:w="751"/>
        <w:gridCol w:w="591"/>
      </w:tblGrid>
      <w:tr>
        <w:trPr/>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SIX MONTHS ENDED</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67,301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24,342</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Merger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4,361</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96,004</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(96,004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(136,261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(85,776</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after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(85,854</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(121,435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left"/>
        <w:rPr>
          <w:rFonts w:ascii="Times New Roman" w:hAnsi="Times New Roman"/>
          <w:sz w:val="20"/>
        </w:rPr>
      </w:pPr>
      <w:r>
        <w:rPr>
          <w:rFonts w:ascii="Arial" w:hAnsi="Arial"/>
          <w:b/>
          <w:color w:val="000000"/>
          <w:sz w:val="22"/>
        </w:rPr>
        <w:t>Investor Contact:</w:t>
      </w:r>
      <w:r>
        <w:rPr>
          <w:rFonts w:ascii="Arial" w:hAnsi="Arial"/>
          <w:color w:val="000000"/>
          <w:sz w:val="22"/>
        </w:rPr>
        <w:br/>
        <w:t>Noel Kurdi</w:t>
        <w:br/>
        <w:t>VP, Investor Relations</w:t>
        <w:br/>
        <w:t>Apogee Therapeutics, Inc.</w:t>
        <w:br/>
      </w:r>
      <w:r>
        <w:rPr>
          <w:rFonts w:ascii="Arial" w:hAnsi="Arial"/>
          <w:sz w:val="22"/>
        </w:rPr>
        <w:t>Noel.Kurdi@apogeetherapeutics.com</w:t>
      </w:r>
      <w:r>
        <w:rPr>
          <w:rFonts w:ascii="Times New Roman" w:hAnsi="Times New Roman"/>
          <w:color w:val="000000"/>
          <w:sz w:val="20"/>
        </w:rPr>
        <w:t> </w:t>
      </w:r>
    </w:p>
    <w:p>
      <w:pPr>
        <w:pStyle w:val="TextBody"/>
        <w:bidi w:val="0"/>
        <w:spacing w:before="360" w:after="283"/>
        <w:jc w:val="left"/>
        <w:rPr>
          <w:rFonts w:ascii="Times New Roman" w:hAnsi="Times New Roman"/>
          <w:sz w:val="20"/>
        </w:rPr>
      </w:pPr>
      <w:r>
        <w:rPr>
          <w:rFonts w:ascii="Arial" w:hAnsi="Arial"/>
          <w:b/>
          <w:color w:val="000000"/>
          <w:sz w:val="22"/>
        </w:rPr>
        <w:t>Media Contact:</w:t>
      </w:r>
      <w:r>
        <w:rPr>
          <w:rFonts w:ascii="Arial" w:hAnsi="Arial"/>
          <w:color w:val="000000"/>
          <w:sz w:val="22"/>
        </w:rPr>
        <w:br/>
        <w:t>Dan Budwick</w:t>
        <w:br/>
        <w:t>1AB Media</w:t>
        <w:br/>
      </w:r>
      <w:r>
        <w:rPr>
          <w:rFonts w:ascii="Arial" w:hAnsi="Arial"/>
          <w:sz w:val="22"/>
        </w:rPr>
        <w:t>dan@1abmedia.com</w:t>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3705</Words>
  <Characters>21579</Characters>
  <CharactersWithSpaces>25380</CharactersWithSpaces>
  <Paragraphs>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