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2625725</wp:posOffset>
            </wp:positionH>
            <wp:positionV relativeFrom="page">
              <wp:posOffset>294640</wp:posOffset>
            </wp:positionV>
            <wp:extent cx="2331720"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31720" cy="728980"/>
                    </a:xfrm>
                    <a:prstGeom prst="rect">
                      <a:avLst/>
                    </a:prstGeom>
                    <a:noFill/>
                  </pic:spPr>
                </pic:pic>
              </a:graphicData>
            </a:graphic>
          </wp:anchor>
        </w:drawing>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March 5,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 AND EMAIL</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Chris Edwards</w:t>
      </w:r>
    </w:p>
    <w:p>
      <w:pPr>
        <w:spacing w:after="0" w:line="207" w:lineRule="exact"/>
        <w:rPr>
          <w:sz w:val="24"/>
          <w:szCs w:val="24"/>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Re:</w:t>
        <w:tab/>
        <w:t> Apogee Therapeutics, Inc.</w:t>
      </w:r>
    </w:p>
    <w:p>
      <w:pPr>
        <w:spacing w:after="0" w:line="27" w:lineRule="exact"/>
        <w:rPr>
          <w:sz w:val="24"/>
          <w:szCs w:val="24"/>
          <w:color w:val="auto"/>
        </w:rPr>
      </w:pPr>
    </w:p>
    <w:p>
      <w:pPr>
        <w:ind w:right="6440" w:firstLine="332"/>
        <w:spacing w:after="0" w:line="585" w:lineRule="auto"/>
        <w:tabs>
          <w:tab w:leader="none" w:pos="459"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Registration Statement on Form S-1 (File No. 333-277664) Dear Mr. Edwards:</w:t>
      </w:r>
    </w:p>
    <w:p>
      <w:pPr>
        <w:spacing w:after="0" w:line="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Pursuant to Rule 461 under the Securities Act of 1933, as amended (the “</w:t>
      </w:r>
      <w:r>
        <w:rPr>
          <w:rFonts w:ascii="Times New Roman" w:cs="Times New Roman" w:eastAsia="Times New Roman" w:hAnsi="Times New Roman"/>
          <w:sz w:val="17"/>
          <w:szCs w:val="17"/>
          <w:b w:val="1"/>
          <w:bCs w:val="1"/>
          <w:color w:val="auto"/>
        </w:rPr>
        <w:t>Act</w:t>
      </w:r>
      <w:r>
        <w:rPr>
          <w:rFonts w:ascii="Times New Roman" w:cs="Times New Roman" w:eastAsia="Times New Roman" w:hAnsi="Times New Roman"/>
          <w:sz w:val="17"/>
          <w:szCs w:val="17"/>
          <w:color w:val="auto"/>
        </w:rPr>
        <w:t>”), Apogee Therapeutics,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hereby requests that the effective date of the above-referenced registration statement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be accelerated to March 7, 2024, at 4:00 p.m., Eastern Time, or as soon thereafter as practicable, unless we or our outside counsel, Gibson, Dunn &amp; Crutcher LLP, request by telephone that such Registration Statement be declared effective at some other time. In making this acceleration request, the Company acknowledges that it is aware of its obligations under the Act.</w:t>
      </w:r>
    </w:p>
    <w:p>
      <w:pPr>
        <w:spacing w:after="0" w:line="16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Once the Registration Statement is effective, please orally confirm the event with our counsel, Gibson, Dunn &amp; Crutcher LLP, by calling Melanie Neary at (415) 393-8243.</w:t>
      </w:r>
    </w:p>
    <w:p>
      <w:pPr>
        <w:spacing w:after="0" w:line="162"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APOGEE THERAPEUTICS, INC.</w:t>
      </w:r>
    </w:p>
    <w:p>
      <w:pPr>
        <w:spacing w:after="0" w:line="225"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/s/ Michael Henderson, M.D.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Michael Henderson, M.D.</w:t>
      </w:r>
    </w:p>
    <w:p>
      <w:pPr>
        <w:spacing w:after="0" w:line="23"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4"/>
          <w:szCs w:val="24"/>
          <w:color w:val="auto"/>
        </w:rPr>
      </w:pPr>
    </w:p>
    <w:p>
      <w:pPr>
        <w:ind w:left="340" w:right="7080" w:hanging="328"/>
        <w:spacing w:after="0" w:line="261"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Jane Pritchett Henderson, Apogee Therapeutics, Inc. Matthew Batters, Apogee Therapeutics, Inc.</w:t>
      </w:r>
    </w:p>
    <w:p>
      <w:pPr>
        <w:ind w:left="340" w:right="72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Ryan A. Murr, Gibson, Dunn &amp; Crutcher LLP Branden C. Berns, Gibson, Dunn &amp; Crutcher LLP Melanie E. Neary, Gibson, Dunn &amp; Crutcher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2024-04-04T23:12:22Z</dcterms:created>
  <dcterms:modified xsi:type="dcterms:W3CDTF">2024-04-04T23:12:22Z</dcterms:modified>
</cp:coreProperties>
</file>